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91F" w:rsidRDefault="00F3491F" w:rsidP="00F3491F">
      <w:pPr>
        <w:pStyle w:val="Standard"/>
        <w:spacing w:line="360" w:lineRule="auto"/>
        <w:rPr>
          <w:rFonts w:ascii="Times New Roman" w:hAnsi="Times New Roman" w:cs="Times New Roman"/>
          <w:b/>
          <w:bCs/>
          <w:sz w:val="24"/>
          <w:szCs w:val="24"/>
        </w:rPr>
      </w:pPr>
      <w:r>
        <w:rPr>
          <w:rFonts w:ascii="Times New Roman" w:hAnsi="Times New Roman" w:cs="Times New Roman"/>
          <w:b/>
          <w:bCs/>
          <w:sz w:val="24"/>
          <w:szCs w:val="24"/>
        </w:rPr>
        <w:t>Valda Salmiņa</w:t>
      </w:r>
    </w:p>
    <w:p w:rsidR="00F3491F" w:rsidRDefault="00F3491F" w:rsidP="00F3491F">
      <w:pPr>
        <w:pStyle w:val="Standard"/>
        <w:spacing w:line="360" w:lineRule="auto"/>
        <w:rPr>
          <w:rFonts w:ascii="Times New Roman" w:hAnsi="Times New Roman" w:cs="Times New Roman"/>
          <w:b/>
          <w:bCs/>
          <w:sz w:val="24"/>
          <w:szCs w:val="24"/>
        </w:rPr>
      </w:pPr>
      <w:bookmarkStart w:id="0" w:name="_Hlk184077738"/>
      <w:r>
        <w:rPr>
          <w:rFonts w:ascii="Times New Roman" w:hAnsi="Times New Roman" w:cs="Times New Roman"/>
          <w:b/>
          <w:bCs/>
          <w:sz w:val="24"/>
          <w:szCs w:val="24"/>
        </w:rPr>
        <w:t>Armēņu tēlojums latviešu literatūrā</w:t>
      </w:r>
      <w:bookmarkEnd w:id="0"/>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Armēnija mums latviešiem vēl arvien ir tāla, nedaudz eksotiska zeme, bet armēņi paši - “ienācēji no tālienes”  vēsturnieka Valtera Ščerbinska</w:t>
      </w:r>
      <w:r>
        <w:rPr>
          <w:rStyle w:val="Vresrakstzmes"/>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vārdiem runājot.</w:t>
      </w:r>
    </w:p>
    <w:p w:rsidR="00F3491F" w:rsidRDefault="00F3491F" w:rsidP="00F3491F">
      <w:pPr>
        <w:pStyle w:val="Standard"/>
        <w:spacing w:line="360" w:lineRule="auto"/>
        <w:rPr>
          <w:rFonts w:ascii="Times New Roman" w:hAnsi="Times New Roman" w:cs="Times New Roman"/>
          <w:sz w:val="24"/>
          <w:szCs w:val="24"/>
        </w:rPr>
      </w:pPr>
      <w:r>
        <w:rPr>
          <w:rFonts w:ascii="Times New Roman" w:hAnsi="Times New Roman" w:cs="Times New Roman"/>
          <w:sz w:val="24"/>
          <w:szCs w:val="24"/>
        </w:rPr>
        <w:t xml:space="preserve">Armēņi Latvijā  ir salīdzinoši jauna etniska kopiena, kuras pirmie pārstāvji  ieradās, lai izglītotos  Rīgas Politehnikumā vai kārtotu biznesa lietas 19.gs. otrā pusē.  </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Savukārt latviešiem doties uz Armēniju nebija parasts. Ja mūsu kaimiņi igauņi, konkrēti Tērbatas profesors, vācietis Frīdrihs Parots ar pavadoņiem,  devās ceļojumā uz Araratu, uzkāpa mītiem apvītajā bibliskajā kalnā, uz kura nolaidies Noāsa šķirsts, atstājot rakstisku liecību -  nozīmīgu pētījumu vācu valodā, kur rodamas ziņas par reģiona dabu, ģeogrāfiju, pašiem armēņiem, viņu ticību un dzīves veidu, tad mūsu rakstiskajos avotos nekā līdzvērtīga nav. Teorētiski ar šīs grāmatas saturu Tērbatā izglītotā latviešu daļa būtu varējusi saskarties, vai vismaz būt par tādas esamību informēta. Grāmata izdota 1834. gadā Berlīnē</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Pirmos ceļojuma iespaidus par Armēniju un armēņiem latviešu valod</w:t>
      </w:r>
      <w:r>
        <w:rPr>
          <w:rFonts w:ascii="Times New Roman" w:hAnsi="Times New Roman" w:cs="Times New Roman"/>
          <w:sz w:val="28"/>
          <w:szCs w:val="28"/>
        </w:rPr>
        <w:t xml:space="preserve">ā </w:t>
      </w:r>
      <w:r>
        <w:rPr>
          <w:rFonts w:ascii="Times New Roman" w:hAnsi="Times New Roman" w:cs="Times New Roman"/>
          <w:sz w:val="24"/>
          <w:szCs w:val="24"/>
        </w:rPr>
        <w:t>uzrakstījusi sieviete, kambarjumprava, mājskolotāja, publiciste Minna Freimane. Kā norāda literatūrzinātniece Zita Kārkla</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sieviešu ceļojumi šai laikā reti bija pašiniciēti. Tas sakāms arī par Minnas Freimanes braucienu no Tiflisas uz Aleksandropoli (mūsdienās Gjumri). 1877. gada aprīlī  viņa kļūst par Krievu - turku kara sākuma aculiecinieci, pat pirmo kara korespondenti savā ziņā.</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“Latviešu publiskajā diskursā šis karš kļuva nozīmīgs arī tāpēc, ka tolaik Krievijas impērijā ieviestās vispārējās karaklausības dēļ kara darbības</w:t>
      </w:r>
      <w:r>
        <w:rPr>
          <w:rFonts w:ascii="Times New Roman" w:hAnsi="Times New Roman" w:cs="Times New Roman"/>
          <w:i/>
          <w:iCs/>
          <w:sz w:val="28"/>
          <w:szCs w:val="28"/>
        </w:rPr>
        <w:t xml:space="preserve"> </w:t>
      </w:r>
      <w:r>
        <w:rPr>
          <w:rFonts w:ascii="Times New Roman" w:hAnsi="Times New Roman" w:cs="Times New Roman"/>
          <w:i/>
          <w:iCs/>
          <w:sz w:val="24"/>
          <w:szCs w:val="24"/>
        </w:rPr>
        <w:t xml:space="preserve">zonā nokļuva daudzi Vidzemes, Kurzemes un Vitebskas guberņas iedzīvotāji.” </w:t>
      </w:r>
      <w:r>
        <w:rPr>
          <w:rStyle w:val="FootnoteReference"/>
          <w:rFonts w:ascii="Times New Roman" w:hAnsi="Times New Roman" w:cs="Times New Roman"/>
          <w:i/>
          <w:iCs/>
          <w:sz w:val="24"/>
          <w:szCs w:val="24"/>
        </w:rPr>
        <w:footnoteReference w:id="4"/>
      </w:r>
    </w:p>
    <w:p w:rsidR="00F3491F" w:rsidRDefault="00F3491F" w:rsidP="00F3491F">
      <w:pPr>
        <w:pStyle w:val="Standard"/>
        <w:spacing w:line="360" w:lineRule="auto"/>
        <w:rPr>
          <w:rFonts w:ascii="Times New Roman" w:hAnsi="Times New Roman" w:cs="Times New Roman"/>
          <w:sz w:val="24"/>
          <w:szCs w:val="24"/>
        </w:rPr>
      </w:pPr>
      <w:r>
        <w:rPr>
          <w:rFonts w:ascii="Times New Roman" w:hAnsi="Times New Roman" w:cs="Times New Roman"/>
          <w:sz w:val="24"/>
          <w:szCs w:val="24"/>
        </w:rPr>
        <w:t>Aculiecinieku karā pieredzētais atspoguļojas galvenokārt latviešu presē.</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lastRenderedPageBreak/>
        <w:t>Armēņu un latviešu inteliģences pirmo tiešo kontaktu vispārzināms piemērs ir Raiņa sadarbība ar Slobotskas trimdas biedru armēņu sociāldemokrātu Ašotu Humarjancu ap 1900.gadu.</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1"/>
          <w:szCs w:val="21"/>
        </w:rPr>
        <w:t>1982.g. 21. dec. Erevānā notika JĀŅA RAIŅA lugas "Pūt vējiņi " izrāde. Lugu tulkojis PARUIRS SEVAKS. Režisore - MĀRA ĶIMELE, bet aktieri </w:t>
      </w:r>
      <w:r>
        <w:rPr>
          <w:rStyle w:val="Emphasis"/>
          <w:rFonts w:ascii="Times New Roman" w:hAnsi="Times New Roman" w:cs="Times New Roman"/>
          <w:sz w:val="21"/>
          <w:szCs w:val="21"/>
        </w:rPr>
        <w:t>armēņi</w:t>
      </w:r>
      <w:r>
        <w:rPr>
          <w:rFonts w:ascii="Times New Roman" w:hAnsi="Times New Roman" w:cs="Times New Roman"/>
          <w:sz w:val="21"/>
          <w:szCs w:val="21"/>
        </w:rPr>
        <w:t>. Tas ir pirmais gadījums, kad latviešu luga </w:t>
      </w:r>
      <w:r>
        <w:rPr>
          <w:rStyle w:val="Emphasis"/>
          <w:rFonts w:ascii="Times New Roman" w:hAnsi="Times New Roman" w:cs="Times New Roman"/>
          <w:sz w:val="21"/>
          <w:szCs w:val="21"/>
        </w:rPr>
        <w:t>armēņu</w:t>
      </w:r>
      <w:r>
        <w:rPr>
          <w:rFonts w:ascii="Times New Roman" w:hAnsi="Times New Roman" w:cs="Times New Roman"/>
          <w:sz w:val="21"/>
          <w:szCs w:val="21"/>
        </w:rPr>
        <w:t xml:space="preserve"> valodā parādās uz Armēnijas teātra skatuves. </w:t>
      </w:r>
      <w:r>
        <w:rPr>
          <w:rStyle w:val="FootnoteReference"/>
          <w:rFonts w:ascii="Times New Roman" w:hAnsi="Times New Roman" w:cs="Times New Roman"/>
          <w:sz w:val="21"/>
          <w:szCs w:val="21"/>
        </w:rPr>
        <w:footnoteReference w:id="6"/>
      </w:r>
    </w:p>
    <w:p w:rsidR="00F3491F" w:rsidRDefault="00F3491F" w:rsidP="00F3491F">
      <w:pPr>
        <w:pStyle w:val="Standard"/>
        <w:spacing w:line="360" w:lineRule="auto"/>
        <w:rPr>
          <w:rFonts w:ascii="Times New Roman" w:hAnsi="Times New Roman" w:cs="Times New Roman"/>
          <w:sz w:val="24"/>
          <w:szCs w:val="24"/>
        </w:rPr>
      </w:pPr>
      <w:r>
        <w:rPr>
          <w:rFonts w:ascii="Times New Roman" w:hAnsi="Times New Roman" w:cs="Times New Roman"/>
          <w:sz w:val="24"/>
          <w:szCs w:val="24"/>
        </w:rPr>
        <w:t>Daudzi latvieši 20.gs. pirmajā pusē savukārt devās uz Aizkaukāzu darba un iztikas meklējumos, tai skaitā inteliģences pārstāvji - mākslinieki un literāti. Lai pieminam šī gada jubilāru dizaineru Jūliju Straumi, kas darbojās Tiflisā un Šušā, un no literātiem Ernestu Birznieku - Upīti, kas izveidoja veiksmīgu karjeru Baku un atbalstīja citus jaunpienācējus, lai minam rakstnieku un mākslinieku Jāni Jaunsudrabiņu.</w:t>
      </w:r>
    </w:p>
    <w:p w:rsidR="00F3491F" w:rsidRDefault="00F3491F" w:rsidP="00F3491F">
      <w:pPr>
        <w:pStyle w:val="Standard"/>
        <w:spacing w:line="360" w:lineRule="auto"/>
        <w:rPr>
          <w:rFonts w:ascii="Times New Roman" w:hAnsi="Times New Roman" w:cs="Times New Roman"/>
          <w:sz w:val="24"/>
          <w:szCs w:val="24"/>
        </w:rPr>
      </w:pPr>
      <w:r>
        <w:rPr>
          <w:rFonts w:ascii="Times New Roman" w:hAnsi="Times New Roman" w:cs="Times New Roman"/>
          <w:sz w:val="24"/>
          <w:szCs w:val="24"/>
        </w:rPr>
        <w:t>Armēņi vēsturiski mita un darbojās lielākajās Kaukāza un Aizkaukāza pilsētās Tiflisā, Bakū, kas bija daudznacionālas. Tāpēc ir pašsaprotami, ka  latviešu ieceļotāji nonāca saskarsmē arī ar armēņu tautības cilvēkiem, iepazinās ar to parašām un mentalitātes iezīmēm.</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i/>
          <w:iCs/>
          <w:sz w:val="24"/>
          <w:szCs w:val="24"/>
        </w:rPr>
        <w:t>Pēc PSRS sabrukuma Armēnijas Republiku bija  pametis aptuveni 1 miljons iedzīvotāju. Pēc  Karabahas konflikta un sekojošās ekonomiskās  krīzes pieauga arī armēņu ieceļotāju skaits  Baltijas valstīs. Latvijā mīt aptuveni 3000 armēņu.”</w:t>
      </w:r>
      <w:r>
        <w:rPr>
          <w:rStyle w:val="FootnoteReference"/>
          <w:rFonts w:ascii="Times New Roman" w:hAnsi="Times New Roman" w:cs="Times New Roman"/>
          <w:i/>
          <w:iCs/>
          <w:sz w:val="24"/>
          <w:szCs w:val="24"/>
        </w:rPr>
        <w:footnoteReference w:id="7"/>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Latvijas armēņu kopienas pārstāvis, krievu valodā rakstošais žurnālists un izdevējs, Baku dzimušais Aleksandrs Geronjans izdevis nelielu latviešu dzejas antaloģiju ”Mana Armēnija” latviešu valodā, kur iekļauti zināmu latviešu dzejnieku Māra Čaklā, Jāņa Petera, Ulža Bērziņa Armēnijas tematikai veltītie dzejoļi un citu latviešu inteliģences pārstāvju - Leona Brieža, Raffi Haradžanjana, Noras Novikas, arī manas Armēnijas impresijas. Šī raksta ietvaros minēto izdevumu tuvāk neaplūkosim.</w:t>
      </w: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sz w:val="24"/>
          <w:szCs w:val="24"/>
        </w:rPr>
      </w:pPr>
      <w:r>
        <w:rPr>
          <w:rFonts w:ascii="Times New Roman" w:hAnsi="Times New Roman" w:cs="Times New Roman"/>
          <w:sz w:val="24"/>
          <w:szCs w:val="24"/>
        </w:rPr>
        <w:t>1.gadījums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lastRenderedPageBreak/>
        <w:t>Rainis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 xml:space="preserve"> Visnelaimīgākā zeme un tauta. Piezīmes par armēņiem un Armēniju.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Armēņu vēsturei un literatūrai veltītais hrestomātiskais raksts “Visnelaimīgākā zeme un tauta” </w:t>
      </w:r>
      <w:r>
        <w:rPr>
          <w:rFonts w:ascii="Times New Roman" w:hAnsi="Times New Roman" w:cs="Times New Roman"/>
          <w:i/>
          <w:iCs/>
          <w:sz w:val="24"/>
          <w:szCs w:val="24"/>
        </w:rPr>
        <w:t>Piezīmes par armēņiem un Armēniju.</w:t>
      </w:r>
      <w:r>
        <w:rPr>
          <w:rFonts w:ascii="Times New Roman" w:hAnsi="Times New Roman" w:cs="Times New Roman"/>
          <w:sz w:val="24"/>
          <w:szCs w:val="24"/>
        </w:rPr>
        <w:t xml:space="preserve"> tapis ciešā sadarbībā ar Slobotskas trimdas biedru armēņu sociāldemokrātu Ašotu Humarjancu</w:t>
      </w:r>
      <w:r>
        <w:rPr>
          <w:rFonts w:ascii="Times New Roman" w:hAnsi="Times New Roman" w:cs="Times New Roman"/>
          <w:sz w:val="28"/>
          <w:szCs w:val="28"/>
        </w:rPr>
        <w:t xml:space="preserve"> </w:t>
      </w:r>
      <w:r>
        <w:rPr>
          <w:rFonts w:ascii="Times New Roman" w:hAnsi="Times New Roman" w:cs="Times New Roman"/>
          <w:sz w:val="24"/>
          <w:szCs w:val="24"/>
        </w:rPr>
        <w:t xml:space="preserve">ap 1900.gadu, bet pirmo reizi publicēts tikai 1927. gadā “Izglītības Ministrijas Mēnešrakstā”.  </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Rainis savam apcerējumam ir devis apakšvirsrakstu  </w:t>
      </w:r>
      <w:r>
        <w:rPr>
          <w:rFonts w:ascii="Times New Roman" w:hAnsi="Times New Roman" w:cs="Times New Roman"/>
          <w:i/>
          <w:iCs/>
          <w:sz w:val="24"/>
          <w:szCs w:val="24"/>
        </w:rPr>
        <w:t>Piezīmes par armēņiem un Armēniju.</w:t>
      </w:r>
      <w:r>
        <w:rPr>
          <w:rFonts w:ascii="Times New Roman" w:hAnsi="Times New Roman" w:cs="Times New Roman"/>
          <w:sz w:val="24"/>
          <w:szCs w:val="24"/>
        </w:rPr>
        <w:t xml:space="preserve"> Interesanti, ka apcere sākas ar īsu piebildi par to, ka atgriezties pie sava Armēnijas liktenim un literatūrai veltītā, nezināmu iemeslu dēļ nepublicētā raksta, pamudinājusi tikšanās vilcienā ar kādu armēņu pusaugu bāreni bēgli, kura viena pati ceļojusi uz nezināmo Parīzi</w:t>
      </w:r>
      <w:r>
        <w:rPr>
          <w:rFonts w:ascii="Times New Roman" w:hAnsi="Times New Roman" w:cs="Times New Roman"/>
          <w:sz w:val="28"/>
          <w:szCs w:val="28"/>
        </w:rPr>
        <w:t xml:space="preserve"> </w:t>
      </w:r>
      <w:r>
        <w:rPr>
          <w:rFonts w:ascii="Times New Roman" w:hAnsi="Times New Roman" w:cs="Times New Roman"/>
          <w:sz w:val="24"/>
          <w:szCs w:val="24"/>
        </w:rPr>
        <w:t>pie svešiem ļaudīm. Lai gan Rainis jūt līdz armēņiem, kas pēc 1. pasaules kara un jaunturku realizētā genocīda, ir</w:t>
      </w:r>
      <w:r>
        <w:rPr>
          <w:rFonts w:ascii="Times New Roman" w:hAnsi="Times New Roman" w:cs="Times New Roman"/>
          <w:sz w:val="28"/>
          <w:szCs w:val="28"/>
        </w:rPr>
        <w:t xml:space="preserve"> </w:t>
      </w:r>
      <w:r>
        <w:rPr>
          <w:rFonts w:ascii="Times New Roman" w:hAnsi="Times New Roman" w:cs="Times New Roman"/>
          <w:sz w:val="24"/>
          <w:szCs w:val="24"/>
        </w:rPr>
        <w:t>zaudējuši savu tēviju un</w:t>
      </w:r>
      <w:r>
        <w:rPr>
          <w:rFonts w:ascii="Times New Roman" w:hAnsi="Times New Roman" w:cs="Times New Roman"/>
          <w:sz w:val="28"/>
          <w:szCs w:val="28"/>
        </w:rPr>
        <w:t xml:space="preserve"> </w:t>
      </w:r>
      <w:r>
        <w:rPr>
          <w:rFonts w:ascii="Times New Roman" w:hAnsi="Times New Roman" w:cs="Times New Roman"/>
          <w:sz w:val="24"/>
          <w:szCs w:val="24"/>
        </w:rPr>
        <w:t>spiesti izklīst pasaulē, tomēr ne visi armēņiem jūtot līdz, pat ļaunāk, viņi tiekot bargi nosodīti.</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“Parīzē satikos ar gruzīniem, ar kuriem runājām arī par Armēniju, un Beļģijā, atkal netīšām, nācās dzirdēt spriedumus par armēņiem, kur tika teikts, ka armēņi un Armēnija pelnījuši savu nelaimīgo likteni.”</w:t>
      </w:r>
      <w:r>
        <w:rPr>
          <w:rStyle w:val="FootnoteReference"/>
          <w:rFonts w:ascii="Times New Roman" w:hAnsi="Times New Roman" w:cs="Times New Roman"/>
          <w:i/>
          <w:iCs/>
          <w:sz w:val="24"/>
          <w:szCs w:val="24"/>
        </w:rPr>
        <w:footnoteReference w:id="8"/>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 xml:space="preserve"> </w:t>
      </w:r>
      <w:r>
        <w:rPr>
          <w:rFonts w:ascii="Times New Roman" w:hAnsi="Times New Roman" w:cs="Times New Roman"/>
          <w:sz w:val="24"/>
          <w:szCs w:val="24"/>
        </w:rPr>
        <w:t>Tomēr Raiņa simpātijas ir armēņu tautas pusē, bet nelabvēlīgās attieksmes iemesli tuvāk netiek aplūkoti. Rainis jūt līdz armēņiem kā senai kristīgai tautai, kas negrib būt “caurbrauktuve, bet apzināta starpniece”</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starp Austrumiem un Rietumiem, saskatot likteņa līdzību ar Latviju un latviešu tautas likteni.</w:t>
      </w:r>
    </w:p>
    <w:p w:rsidR="00F3491F" w:rsidRDefault="00F3491F" w:rsidP="00F3491F">
      <w:pPr>
        <w:pStyle w:val="Standard"/>
        <w:spacing w:line="360" w:lineRule="auto"/>
        <w:rPr>
          <w:rFonts w:ascii="Times New Roman" w:hAnsi="Times New Roman" w:cs="Times New Roman"/>
          <w:sz w:val="24"/>
          <w:szCs w:val="24"/>
        </w:rPr>
      </w:pPr>
      <w:r>
        <w:rPr>
          <w:rFonts w:ascii="Times New Roman" w:hAnsi="Times New Roman" w:cs="Times New Roman"/>
          <w:sz w:val="24"/>
          <w:szCs w:val="24"/>
        </w:rPr>
        <w:t>Šī raksta daļa ir izrādījusies ārkārtīgi mūsdienīga, jo jautājums par tā sauktajiem eksteritoriālajiem transporta koridoriem, “Zangezuras koridoru” ir politiķu dienaskārtībā. Krievija ar Azerbaidžānas un Turcijas palīdzību meklē veidu, kā apiet Ukrainas kara rezultātā uzliktās sankcijas, un Armēnijas suverenitāte ir nopietni apdraudēta.</w:t>
      </w:r>
    </w:p>
    <w:p w:rsidR="00F3491F" w:rsidRDefault="00F3491F" w:rsidP="00F3491F">
      <w:pPr>
        <w:pStyle w:val="Standard"/>
        <w:spacing w:line="360" w:lineRule="auto"/>
        <w:rPr>
          <w:rFonts w:ascii="Times New Roman" w:hAnsi="Times New Roman" w:cs="Times New Roman"/>
          <w:sz w:val="24"/>
          <w:szCs w:val="24"/>
        </w:rPr>
      </w:pPr>
      <w:r>
        <w:rPr>
          <w:rFonts w:ascii="Times New Roman" w:hAnsi="Times New Roman" w:cs="Times New Roman"/>
          <w:sz w:val="24"/>
          <w:szCs w:val="24"/>
        </w:rPr>
        <w:lastRenderedPageBreak/>
        <w:t>Armēņi kā pirmā valsts, kas pieņēmusi kristietību par valsts reliģiju, simbolizē tās pašas vērtības, kas liktas arī Eiropas kultūras pamatos. Lai gan Rainis nekad nav bijis Armēnijā, dažas ainas viņa armēņu vēsturei un literatūrai veltītajā apcerē ir tik spilgti attēlotas, ka rada klātbūtnes efektu, lai pieminam armēņu liturģijas ekstātisko aprakstu. Tā pēc liturģiju pētnieku domām ir viena no senākajām pasaulē.</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“Armēņu liturģija – tā ir vesela traģēdija. Garīgās ceremonijas izpildītājs, atsegtu galvu, basām kājām un izplestām rokām, bet tērpies spīdošā mantijā, stāv pie apgaismota altāra, kurš greznots ar zeltu un puķēm. Viņa uzskats - raugoties ar ceļos noslīgušo lūdzēju acīm - ir simbols cietējas cilvēces tieksmei pēc taisnības un skaistuma avotiem.”</w:t>
      </w:r>
      <w:r>
        <w:rPr>
          <w:rStyle w:val="FootnoteReference"/>
          <w:rFonts w:ascii="Times New Roman" w:hAnsi="Times New Roman" w:cs="Times New Roman"/>
          <w:i/>
          <w:iCs/>
          <w:sz w:val="24"/>
          <w:szCs w:val="24"/>
        </w:rPr>
        <w:footnoteReference w:id="10"/>
      </w:r>
    </w:p>
    <w:p w:rsidR="00F3491F" w:rsidRDefault="00F3491F" w:rsidP="00F3491F">
      <w:pPr>
        <w:pStyle w:val="Standard"/>
        <w:spacing w:line="360" w:lineRule="auto"/>
        <w:rPr>
          <w:rFonts w:ascii="Times New Roman" w:hAnsi="Times New Roman" w:cs="Times New Roman"/>
          <w:sz w:val="24"/>
          <w:szCs w:val="24"/>
        </w:rPr>
      </w:pPr>
      <w:r>
        <w:rPr>
          <w:rFonts w:ascii="Times New Roman" w:hAnsi="Times New Roman" w:cs="Times New Roman"/>
          <w:sz w:val="24"/>
          <w:szCs w:val="24"/>
        </w:rPr>
        <w:t>Domāju, ka Raiņa  vēstījums varētu šķist nedaudz pārspīlēts un  pat neiederīgs. Ņemot vērā, ka armēņi kaut kādā mērā tomēr ir   austrumnieki,  grūti iztēloties, ka grezni tērpts armēņu garīdznieks varētu  kalpot dievnamā basām kājām.</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Turpmākais apraksts lai gan spilgts un tēlains, tomēr ir lakonisks un vairāk pilda  informatīvu funkciju.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“Pūpolu svētdienas vakarā baznīcā simboliski tēlo Lielo Tiesu. Bīskaps lūdz pie aizvērtām ieejas durvīm atļauju tikt ielaistam Paradīzē. Dažreiz seno pagānu laiku atliekas ievijas šajā lieliskā, vienkārš</w:t>
      </w:r>
      <w:r>
        <w:rPr>
          <w:rFonts w:ascii="Times New Roman" w:hAnsi="Times New Roman" w:cs="Times New Roman"/>
          <w:i/>
          <w:iCs/>
          <w:sz w:val="28"/>
          <w:szCs w:val="28"/>
        </w:rPr>
        <w:t xml:space="preserve">ā </w:t>
      </w:r>
      <w:r>
        <w:rPr>
          <w:rFonts w:ascii="Times New Roman" w:hAnsi="Times New Roman" w:cs="Times New Roman"/>
          <w:i/>
          <w:iCs/>
          <w:sz w:val="24"/>
          <w:szCs w:val="24"/>
        </w:rPr>
        <w:t xml:space="preserve">kristīgā drāmā. Kristus apskaidrošanas dienā, lielās procesijas brīdī, sekojot senai parašai, par godu dievei Anahitai </w:t>
      </w:r>
      <w:r>
        <w:rPr>
          <w:rStyle w:val="FootnoteReference"/>
          <w:rFonts w:ascii="Times New Roman" w:hAnsi="Times New Roman" w:cs="Times New Roman"/>
          <w:i/>
          <w:iCs/>
          <w:sz w:val="24"/>
          <w:szCs w:val="24"/>
        </w:rPr>
        <w:footnoteReference w:id="11"/>
      </w:r>
      <w:r>
        <w:rPr>
          <w:rFonts w:ascii="Times New Roman" w:hAnsi="Times New Roman" w:cs="Times New Roman"/>
          <w:i/>
          <w:iCs/>
          <w:sz w:val="24"/>
          <w:szCs w:val="24"/>
        </w:rPr>
        <w:t>kaisa tautā rozes un palaiž brīvībā baložus.”</w:t>
      </w:r>
      <w:r>
        <w:rPr>
          <w:rStyle w:val="FootnoteReference"/>
          <w:rFonts w:ascii="Times New Roman" w:hAnsi="Times New Roman" w:cs="Times New Roman"/>
          <w:i/>
          <w:iCs/>
          <w:sz w:val="24"/>
          <w:szCs w:val="24"/>
        </w:rPr>
        <w:footnoteReference w:id="12"/>
      </w:r>
    </w:p>
    <w:p w:rsidR="00F3491F" w:rsidRDefault="00F3491F" w:rsidP="00F3491F">
      <w:pPr>
        <w:pStyle w:val="Standard"/>
        <w:spacing w:line="360" w:lineRule="auto"/>
        <w:rPr>
          <w:rFonts w:ascii="Times New Roman" w:hAnsi="Times New Roman" w:cs="Times New Roman"/>
          <w:sz w:val="28"/>
          <w:szCs w:val="28"/>
        </w:rPr>
      </w:pP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2. gadījums</w:t>
      </w:r>
    </w:p>
    <w:p w:rsidR="00F3491F" w:rsidRDefault="00F3491F" w:rsidP="00F3491F">
      <w:pPr>
        <w:pStyle w:val="Standard"/>
        <w:spacing w:line="360" w:lineRule="auto"/>
        <w:rPr>
          <w:rFonts w:ascii="Times New Roman" w:hAnsi="Times New Roman" w:cs="Times New Roman"/>
          <w:b/>
          <w:bCs/>
          <w:sz w:val="24"/>
          <w:szCs w:val="24"/>
        </w:rPr>
      </w:pPr>
      <w:r>
        <w:rPr>
          <w:rFonts w:ascii="Times New Roman" w:hAnsi="Times New Roman" w:cs="Times New Roman"/>
          <w:b/>
          <w:bCs/>
          <w:sz w:val="24"/>
          <w:szCs w:val="24"/>
        </w:rPr>
        <w:t>Minna Freimane</w:t>
      </w:r>
    </w:p>
    <w:p w:rsidR="00F3491F" w:rsidRDefault="00F3491F" w:rsidP="00F3491F">
      <w:pPr>
        <w:pStyle w:val="Standard"/>
        <w:spacing w:line="360" w:lineRule="auto"/>
        <w:rPr>
          <w:rFonts w:ascii="Times New Roman" w:hAnsi="Times New Roman" w:cs="Times New Roman"/>
        </w:rPr>
      </w:pPr>
      <w:r>
        <w:rPr>
          <w:noProof/>
          <w:lang w:val="en-US"/>
        </w:rPr>
        <w:lastRenderedPageBreak/>
        <w:drawing>
          <wp:anchor distT="0" distB="0" distL="114300" distR="114300" simplePos="0" relativeHeight="251660288" behindDoc="0" locked="0" layoutInCell="0" allowOverlap="1" wp14:anchorId="12271CF5" wp14:editId="018E8B3F">
            <wp:simplePos x="0" y="0"/>
            <wp:positionH relativeFrom="column">
              <wp:posOffset>3186430</wp:posOffset>
            </wp:positionH>
            <wp:positionV relativeFrom="paragraph">
              <wp:posOffset>125730</wp:posOffset>
            </wp:positionV>
            <wp:extent cx="2006600" cy="3066415"/>
            <wp:effectExtent l="0" t="0" r="0" b="0"/>
            <wp:wrapSquare wrapText="bothSides"/>
            <wp:docPr id="1" name="Attēls2 Copy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2 Copy 1" descr="A close-up of a paper&#10;&#10;Description automatically generated"/>
                    <pic:cNvPicPr>
                      <a:picLocks noChangeAspect="1" noChangeArrowheads="1"/>
                    </pic:cNvPicPr>
                  </pic:nvPicPr>
                  <pic:blipFill>
                    <a:blip r:embed="rId6"/>
                    <a:stretch>
                      <a:fillRect/>
                    </a:stretch>
                  </pic:blipFill>
                  <pic:spPr bwMode="auto">
                    <a:xfrm>
                      <a:off x="0" y="0"/>
                      <a:ext cx="2006600" cy="3066415"/>
                    </a:xfrm>
                    <a:prstGeom prst="rect">
                      <a:avLst/>
                    </a:prstGeom>
                  </pic:spPr>
                </pic:pic>
              </a:graphicData>
            </a:graphic>
          </wp:anchor>
        </w:drawing>
      </w:r>
      <w:r>
        <w:rPr>
          <w:rFonts w:ascii="Times New Roman" w:hAnsi="Times New Roman" w:cs="Times New Roman"/>
          <w:b/>
          <w:bCs/>
          <w:sz w:val="24"/>
          <w:szCs w:val="24"/>
        </w:rPr>
        <w:t>Armēnijas ceļojuma piezīmes, etnogrāfiski vērojumi un nostāsts par leģendāro Karapetu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Minnas Freimanes ceļojuma piezīmes izdevis LU Literatūras folkloras un mākslas institūts, pavisam nesen 2021.gadā,  tās rediģējusi, komentējusi pētniece Zita Kārkla.  </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Minna Freimane kā pulkveža  ģimenes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mājskolotāja no Tiflisas seko līdzi pulkvežkundzei un saviem audzināmajiem uz Turcijas pierobežu, kur lokalizētas Krievu cariskās armijas kara daļas. Notikumi risinās dažas dienas pirms krievu- turku kara 1877. gada aprīlī.</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Mūsu temata ietvaros īpašu interesi raisa Aleksandropoles (mūsdienās Gjumri) ceļojuma piezīmes, kurās centrālo vietu ieņem apkārtnes un armēņu sieviešu stāvokļa, un paražu raksturojums.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“Nevaru teikt, ka še visai skaists. Pilsēta stāv augstā, kailā vietā, visapkārt lielā attālumā kalni, klintis, kas kā pelēki zaldāti ar baltām sniega cepurēm vakti tura”.</w:t>
      </w:r>
      <w:r>
        <w:rPr>
          <w:rStyle w:val="FootnoteReference"/>
          <w:rFonts w:ascii="Times New Roman" w:hAnsi="Times New Roman" w:cs="Times New Roman"/>
          <w:i/>
          <w:iCs/>
          <w:sz w:val="24"/>
          <w:szCs w:val="24"/>
        </w:rPr>
        <w:footnoteReference w:id="13"/>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 Autore ir nevien acīga un iejūtīga vērotāja, bet arī aizrautīga un zinātkāra pētniece, kas mērķtiecīgi vāc entnogrāfiskas dabas datus.  Viņa ne tikai  pamana koku trūkumu pilsētas  apkaimē, apraksta kurināšanai izmantotos alternatīvos veidus tādus kā  “kisiku”jeb kiziku - saulē kaltētu mēslu un salmu sajaukumu, kas degot izplata negantu smaku un liedz ilgstoši uzturēties telpās, bet arī sajūt, kā pati daba intuitīvi nojauš gaidāmo asiņaino karu. Putni nemiera pilni klaigā. Kalni, autores vārdiem runājot, :”tālumā slejas kā vaktnieki” - robežu sargi.</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Kara un cīņas tematika  autores Kaukazijas ceļojuma piezīmēs ieskanas arī pateicoties tekstā iekļautam kāda vietējā nostāstam par nevaldāmu un drošsirdīgu jaunekli, kas viens pats metas </w:t>
      </w:r>
      <w:r>
        <w:rPr>
          <w:rFonts w:ascii="Times New Roman" w:hAnsi="Times New Roman" w:cs="Times New Roman"/>
          <w:sz w:val="24"/>
          <w:szCs w:val="24"/>
        </w:rPr>
        <w:lastRenderedPageBreak/>
        <w:t>tuvcīņā ar trim turkiem, tiek ievainots, nonāk hospitālī, kur drošsirdi apmeklē pats cara armijas jātnieku kavalērijas ģenerālis armēnis Loris Melikovs.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 Autore vēsta, ka šis ārkārtīgi drosmīgais kareivis Karapets vārdā, nāk no Tiflisas, neizceļot īpaši nacionālo piederību. Bet man kā armēņu filoloģei un armēņu onomastikas pētniecei, tūlīt nāk prātā, ka tas ir īsts kristīgas cilmes armēņu personvārds (Karapets jeb priekštecis, Jānis Kristītājs).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Tiflisā līdz pat 20.gs. 20g. vidum bija liels armēņu iedzīvotāju īpatsvars, tāpat kā citur Aizkaukāzā, tai skaitā Baku, par ko vēl būs runa Birznieka Upīša aprakstītā Karabahas armēņu sadzīves kontekstā.</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Informatīvi nozīmīgu piezīmju daļu veido Minnas Freimanes viesošanās apraksti, viņa tiek ieaicināta turīgās mājās pie kādas Aleksandropoles armēnietes, kur par savstarpējas intereses objektu kļuvis abu dāmu apģērbs. Interesanti, ka Minna tērpusies krievu sarafānā un izšūtā kreklā, bet padzīvojusī armēniete  raksturota kā “vecene , ļoti laipnīga sieviņa”, kas bagātīgi rotājusies.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 Svārki bij trijās rindās apšūti ar zelta šņori. Galvā maza cepurīte, ar muselīna drānu, ar kuru arī acis aizklāt, ja svešs vīrietis parādītos.Uz pieres savāda rota, sastāvoša iz pusimperiāla, ieslēgta no vairākiem sīkiem zelta naudas gabaliem un no pērlēm. Katrā rokā zelta aproce un pirkstos gredzeni.”</w:t>
      </w:r>
      <w:r>
        <w:rPr>
          <w:rStyle w:val="FootnoteReference"/>
          <w:rFonts w:ascii="Times New Roman" w:hAnsi="Times New Roman" w:cs="Times New Roman"/>
          <w:sz w:val="24"/>
          <w:szCs w:val="24"/>
          <w:shd w:val="clear" w:color="auto" w:fill="FFFF00"/>
        </w:rPr>
        <w:footnoteReference w:id="14"/>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Ceļiniece apbrīno šo turīgo armēņu namu un  pat pieredz tajā neparastu rituālu. Saimnieces meita ar aizsegtu seju pienāk pie svešinieces, lai mazgātu viņai kājas. Armēņu kundze izstāsta, ka šāds paradums pastāv jaunajai sievai ienākot vīra ģimenē, kur vedekla vīra radiem mazgā kājas, tāpat kā zemodamies  to reiz darīja Kristus saviem mācekļiem. Bet konkrētajā gadījumā nama saimniece un tās meita gribējušas izrādīt viešņai īpašu godu.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Saimniece eksotisko svešinieci iepazīstina ar vēl dažām armēņu ieražām, kas raksturo sievietes stāvokli ģimenē.</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lastRenderedPageBreak/>
        <w:t>“Sievišķi nedrīkst savas acis nevienam svešiniekam rādīt. Izprecētas meitas var ar savu māti ne ātrāki tikties, kā tad, kad ir dzemdējušas. Viņa pilnīgi pieder savam vīram un viņa namam; tādēļ viņai vajaga būt pazemīgai un jāklausa arī vīra vecākiem. Kad viņa atnāk vīra namā tad viņai saskaņā ar svētajiem rakstiem jāmazgā kājas vīra vecākiem, un vēlāk arī citiem viņa radiem, kad tie viesībās nāk.”</w:t>
      </w:r>
      <w:r>
        <w:rPr>
          <w:rStyle w:val="FootnoteReference"/>
          <w:rFonts w:ascii="Times New Roman" w:hAnsi="Times New Roman" w:cs="Times New Roman"/>
          <w:i/>
          <w:iCs/>
          <w:sz w:val="24"/>
          <w:szCs w:val="24"/>
        </w:rPr>
        <w:footnoteReference w:id="15"/>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Uzzinām, ka 19.gs. beigās svētku reizēs vīrieši un sievietes nesēž kopā, bet gan katrs pie sava galda atsevišķās telpās, kā to esmu pieredzējusi arī es -  pirmo reizi savā dzīvē kopā ar savu armēņu valodas skolotāju Aršaluisu Papazjanu ciemojoties viņas mēbeļu meistara ģimenē Erevānā jau 1984. gadā, kas man bija liels pārsteigums.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Ceļiniece gan jāteic diezgan skeptiski izsakās par sava laika armēņu sieviešu interešu un izglītības līmeni. Interesants ir fakts, ka sievietes parasti satiekas pirtī, kur izrāda savus tērpus un vīru atvestās dāvanas. Pirtī sievietes pavada visu dienu savstarpējās sarunās, baudot līdzi paņemto cienastu. Pirts  kalpojusi par nozīmīgu socializēšanās vietu.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Interesesants ir bēru paražu apraksts, kur uzzinām, ka sievietes uz kapsētu nedodas, bet sēro baznīcā, raud un plēš matus. Koku trūkuma dēl mirušais uz kapsētu tiek nests īrētā puszārkā, bet aizgājējs – bērns uz spilvena.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Savdabīgs ir sāls kā dezinfekcijas līdzekļa lietojums.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“Vispārīgi jāsaka, sāls spēlē pie armēņiem svarīgu lomu. Bet bērni, kad piedzimst, top ar sāli apkaisīti un tad tik mazgāti. Tamdēļ krievi, ja ar viņiem sabaras, tiem pārmet: Ak, tu sālītais armēnietis.”</w:t>
      </w:r>
      <w:r>
        <w:rPr>
          <w:rStyle w:val="FootnoteReference"/>
          <w:rFonts w:ascii="Times New Roman" w:hAnsi="Times New Roman" w:cs="Times New Roman"/>
          <w:i/>
          <w:iCs/>
          <w:sz w:val="24"/>
          <w:szCs w:val="24"/>
        </w:rPr>
        <w:footnoteReference w:id="16"/>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rPr>
        <w:t>Var tikai apbrīnot Minnas Freimanes spēju īsā laikā iemantot vietējo cilvēku uzticību un prasmi uzkrāt tik daudz dažādu  etnogrāfisku  datu. Bez jau minētajām uzzinām arī citas interesantas sadzīves detaļas, piemēram, ka armēņu mājoklī grīdas ir klātas ar tepiķiem, bet sēdēts tiek uz spilveniem ar sakrustotām kājām.</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rPr>
        <w:t>Viena rindkopa veltīta arī ēšanas paradumiem. Minēts lavašs, sālīts siers, aitas gaļas šišliks jeb šašliks, īsumā aprakstot pēdējā pagatavošanas veidu.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i/>
          <w:iCs/>
        </w:rPr>
        <w:t>.priekš tam ņem mazākos gabalos sagrieztu gaļu, pieliek sīpolus, uzkaisa sāli un liek tad veselu stundu stāvēt, pēc tam cep uz dzelzs dakšām virs oglēm.</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rPr>
        <w:t>Nabagie ēd sieru, ietītu dažādā zaļā zālē, kas īpaši priekš šī mērķa tiek sēta. Pie tam uzkož lavašu un uzdzer ūdeni.”</w:t>
      </w:r>
      <w:r>
        <w:rPr>
          <w:rStyle w:val="FootnoteReference"/>
          <w:rFonts w:ascii="Times New Roman" w:hAnsi="Times New Roman" w:cs="Times New Roman"/>
          <w:i/>
          <w:iCs/>
        </w:rPr>
        <w:footnoteReference w:id="17"/>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3. gadījums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 xml:space="preserve">Ernests Birznieks - Upītis  </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 xml:space="preserve"> “Mazie jātnieki”</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Armēņi Aizkaukāzā. Uzņēmēja gara, pragmatiskuma un cilvēcības konflikta tēlojums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 xml:space="preserve"> </w:t>
      </w:r>
      <w:r>
        <w:rPr>
          <w:rFonts w:ascii="Times New Roman" w:hAnsi="Times New Roman" w:cs="Times New Roman"/>
          <w:sz w:val="24"/>
          <w:szCs w:val="24"/>
        </w:rPr>
        <w:t>Stāsta darbība sākas Karabahā, šis novads ir pazīstams ar saviem labajiem spēcīgajiem zirgiem. Priestera Arakeljana un tirgotāja Papajana dēli izmācījušies Krievijas augstskolās, aprecējuši bagātas sievas, apmetušies naftas metropolē Baku un iecerējuši jaunu biznesa projektu – ierīkot zirgu tramvaju. Dzimtajā novadā par skaidru naudu īsā laikā tiek iepirkti zirgi un salīgti strādnieki.</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i/>
          <w:iCs/>
          <w:sz w:val="24"/>
          <w:szCs w:val="24"/>
        </w:rPr>
        <w:t xml:space="preserve"> ieradās abi dēli ar savām sievām it kā viesos dzimtenes sādžā un pie tā paša gadījuma sapirka pa visu apgabalu vai piecdesmit zirgu uzreiz un izmaksāja arī tūliņ naudu. Līga arī par krietnu  algu zirgu kopējus un kučierus.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Nu vairs nebija neticīgo, jo zilie, zaļie un sarkanie papīriņi un zelta desmitnieki un piecinieki bija pārliecinājuši visus. un par Arakeljaniem un Papajaniem vien runāja viss apgabals..</w:t>
      </w:r>
      <w:r>
        <w:rPr>
          <w:rStyle w:val="FootnoteReference"/>
          <w:rFonts w:ascii="Times New Roman" w:hAnsi="Times New Roman" w:cs="Times New Roman"/>
          <w:i/>
          <w:iCs/>
          <w:sz w:val="24"/>
          <w:szCs w:val="24"/>
        </w:rPr>
        <w:footnoteReference w:id="18"/>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Ne bez zināma rūgtuma par ļaužu lētticību secina stāstnieks.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Projekta realizācijai vajadzīgi arī divi pusaudži, kas varētu strādāt par pusalgu kā palīgi, kas palīdzēs vagoniņus ar pasažieriem uzvilkt kalnā. Bērni, divi armēņu zēni, par ko liecina viņu </w:t>
      </w:r>
      <w:r>
        <w:rPr>
          <w:rFonts w:ascii="Times New Roman" w:hAnsi="Times New Roman" w:cs="Times New Roman"/>
          <w:sz w:val="24"/>
          <w:szCs w:val="24"/>
        </w:rPr>
        <w:lastRenderedPageBreak/>
        <w:t>vārdi Simkus</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un Karapets,  tāpat kā uzņēmēji ir armēņu tautības. Rakstnieks tiesa gan sava stāsta varoņu etnisko piederību nekur neizceļ.</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 Uzsvars likts uz darba un sadzīves apstākļu tēlojumu. Zēni ir iedvesmas pilni, kad uzzina, ka varēs kopā doties uz lielpilsētu un viņiem tiks uzticēts katram savs zirgs. Mežonīgā kapitālisma seja stāsta reālistiskajā vēstījumā atsedz savu patieso, merkantilo seju. Spēcīgie zirgi gada laikā tiek nodzīti līdz nāvei. Pirmie upuri parādās jau pēc pusgada.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No vienas puses varam izcelt armēņu tautības uzņēmēju apķērību un sekošanu laika garam. Tiek domāts arī par strādnieku izmitināšanu, bezmaksas ēdināšanu. Ciemā palikušie ar zēnu apciemojušā tēva muti runā, kas bērnam nekaitot pie visa gatava. Lielajai ģimenei tālajā dzimtenē nākas daudz grūtāk sev sagādāt visu dzīvei nepieciešamo, tāpēc viņi spiesti pašu izaudzētos brašos zirgus atdot darbā uz tramvaja Baku.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 Zēni pieredz nežēlīgu attieksmi pret zirgiem, kas netiek taupīti un tiek nepilnvērtīgi baroti salīdzinājumā ar grūto darbu, kas tiem veicams. Aizkustinošas ir bērnu rūpes par saviem zirdziņiem, kuriem tie slepus atdod pašiem atrauto skopo maizes riecienu. Veterinārārsts neslēpj, ka zirgs tiek barots tā, lai tas nokalpotu gadu, tad tas ir atmaksājies un tiek atdots ziepju fabrikai, kuru arī vada kāds armēņu uzņēmējs, ja spriežam pēc uzvārda ar izskaņu -jans.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Kad smaga darba izmocīts pakrīt pirmais zēnu no dzimtenes atvestais zirgs, viņi slepus sadabū zirgus vilcējus, izrok bedri un aprok savu mīļo cīņu biedru. Vēlāk uzņēmēji tikai secina, ka ziepju fabrika atsūtījusi mazāk naudas par plānoto.</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 Baku 20. gs. sākumā bija lielpilsēta, kur mita visdažādāko tautību pārstāvji. Rakstnieks min ebrejus, krievus, armēņus, lezgīnus, tatārus. Zēnu ilūzijas par to, ka dienās paši kļūs turīgi un apņems bagātas sievas droši vien tika izgaisinātas. Arī ilgi kārotā jūra izrādījās nepievilcīga, pat dzeramā ūdens nav, strādniekiem un lopiem tiek dots destilēts jūras ūdens, lai būtu lētāk.</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Interesanti parādīts, kā strādniekus darbā uz lielpilsētu pavada viss ciems dievkalpojuma laikā baznīcā. Mācītājs pamāca aizgājējus dzīvot taupīgi un visu naudu sūtīt uz mājām.</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lastRenderedPageBreak/>
        <w:t>“Pēc īsas dievkalpošanas priesteris turēja aizlūgumu par tiem draudzes locekļiem, kuri tagad devās svešumā, izteikdams cerības, ka šis pasākums nāks visai draudzei par svētību, un lika pie sirds cītīgi apmeklēt dievnamu arī pilsētā, kur pašā centrā esot skaista baznīca.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Baznīcas tornī sāka zvanīt. Draudze izgāja no baznīcas. Jātnieki sēdās zirgos. Tad tirgotājs Papajans meta zvanītājam ar roku, lai apklust.</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Ātri viņš ieskrēja pārdotavā un iznāca uz sava nama balkona.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Nedariet kaunu mūsu sādžai, strādājiet uzcītīgi jaunajā uzņēmumā un netērējiet velti  naudu svešajā, lielajā pilsētā, bet sūtiet visu uz mājām saviem piederīgajiem...”</w:t>
      </w:r>
      <w:r>
        <w:rPr>
          <w:rStyle w:val="FootnoteReference"/>
          <w:rFonts w:ascii="Times New Roman" w:hAnsi="Times New Roman" w:cs="Times New Roman"/>
          <w:i/>
          <w:iCs/>
          <w:sz w:val="24"/>
          <w:szCs w:val="24"/>
        </w:rPr>
        <w:footnoteReference w:id="20"/>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Zīmīga  ir sekojošā īsā piebilde.</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 xml:space="preserve"> “No balkona viņš pamāja ar roku, lai zvanītājs turpina zvanīšanu”,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netieši norādot, kam te patiesībā ir teikšana.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Šāda došanās peļņā un tuvinieku atbalstīšana ir vērojama arī mūsdienās un varētu teikt, ka visumā uzskatāma par teicamu  armēņu mentalitātes sastāvdaļu.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4. gadījums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Pāvils Gruzna romāns “Jaunā strāva”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Armēņa Jenovka Kazarova Kahetijas dabīgo vīnu pagrabs - iecienīta latviešu inteliģences tikšanās  vieta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Pāvila Gruznas</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daļēji autobiogrāfiskais romāns  “Jaunā strāva” tapis vācu trimdā 1946.g.  Veltīts 20.gs. sāk. Rīgas dekadentiskajai bohēmai. Romāna darbība risinās 1902. līdz 1912. gadam.</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P. Gruzna  savā darbā iemūžinājis Rīgas centrā netālu no Operas, pretī pastam mājvietu radušajam armēņa Jenovka Kazarova Kahetijas dabīgo vīnu pagrabam, kas kalpojis par latviešu </w:t>
      </w:r>
      <w:r>
        <w:rPr>
          <w:rFonts w:ascii="Times New Roman" w:hAnsi="Times New Roman" w:cs="Times New Roman"/>
          <w:sz w:val="24"/>
          <w:szCs w:val="24"/>
        </w:rPr>
        <w:lastRenderedPageBreak/>
        <w:t>inteliģences iemīļotu tikšanās vietu. Romānā atrodam omulīgā, ar gaumi iekārtotā  krodziņa aprakstu, kura sienas rotā uzraksts. ”Lai tagad visas laicīgās zūdīšanas noliekam”.</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“Tur masīva  sešstāvu nama pakājē bija sausi, silti, glīti un omulīgi. Neuzkrītoša ieeja pazemē tieši no bulvāra. Rinda glīti uzkoptu separatu kabinetiņu, jeb cellīšu, mazākam kompānijām, bet tālu dziļumā lielāka telpa plašākām sanāksmēm. Un viscauri spodrums un paklāju bagātība. Tālāk šašliku ceptuve un virtuve, kā mašīnu māja, bet aiz platajām noliktavas durvīm, kā vagonu parkā, gan prāvu, gan mazāku vīna muciņu un mucu rindas.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 Īpašu interesi krodziņš iemantojis dēļ fakta, ka šeit bieži apgrozījies arī komponists Emīls Dārziņš, tieši te risinājies traģiskais notikums ar “Vientuļās priedes” sadedzināšanu pēc tam, kad komponists tika apsūdzēts plaģiātā.  </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Dārziņa “Priede” tiek  piedēvēta somu komponistam Sibeliusam, un komponists tieši Kazarova krodziņā iemet to ugunī, lai ātrāk tiek gatavas ogles viesu iemīļotajam šašlikam. Reiz turpat Kazarova krogā lietus ritmā dzimusi arī Melanholiskā valša ideja.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 P.Gruzna ar pašu Kazarovu iepazinies, strādājot bankā.  Par Kazarovu uzzinām, ka viņš ir no Aizkaukāza Erivaņas, beidzis garīgo semināru.</w:t>
      </w:r>
      <w:r>
        <w:rPr>
          <w:rStyle w:val="FootnoteReference"/>
          <w:rFonts w:ascii="Times New Roman" w:hAnsi="Times New Roman" w:cs="Times New Roman"/>
          <w:sz w:val="24"/>
          <w:szCs w:val="24"/>
        </w:rPr>
        <w:footnoteReference w:id="23"/>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Stāsta gaitā Kazarovs saskata līdzību savā dzimtajā armēņu valodā un latviešu valodā, minot atsevišķas leksiskas paralēles, rietumarmēņu  </w:t>
      </w:r>
      <w:r>
        <w:rPr>
          <w:rFonts w:ascii="Times New Roman" w:hAnsi="Times New Roman" w:cs="Times New Roman"/>
          <w:i/>
          <w:iCs/>
          <w:sz w:val="24"/>
          <w:szCs w:val="24"/>
        </w:rPr>
        <w:t>goov</w:t>
      </w:r>
      <w:r>
        <w:rPr>
          <w:rFonts w:ascii="Times New Roman" w:hAnsi="Times New Roman" w:cs="Times New Roman"/>
          <w:sz w:val="24"/>
          <w:szCs w:val="24"/>
        </w:rPr>
        <w:t>, latv. G</w:t>
      </w:r>
      <w:r>
        <w:rPr>
          <w:rFonts w:ascii="Times New Roman" w:hAnsi="Times New Roman" w:cs="Times New Roman"/>
          <w:i/>
          <w:iCs/>
          <w:sz w:val="24"/>
          <w:szCs w:val="24"/>
        </w:rPr>
        <w:t xml:space="preserve">ovs. </w:t>
      </w:r>
      <w:r>
        <w:rPr>
          <w:rFonts w:ascii="Times New Roman" w:hAnsi="Times New Roman" w:cs="Times New Roman"/>
          <w:sz w:val="24"/>
          <w:szCs w:val="24"/>
        </w:rPr>
        <w:t>Wenden -  Cēsu vēsturisko nosaukumu min, brīnoties, ka tas skaniski sakrīt ar kādu vietvārdu viņa dzimtenē. Arī  “elēģiski smeldzošās armēņu tautas dziesmas” un latviešu tautasdziesmu liriskā skumjā un sērīgā noskaņa viņam šķiet līdzīgas.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 Interesants ir fakts, ka Kazarovs it kā ir dzēsis visus Dārziņa parādus un uzsaucis bēru mielastu, kā arī nolicis bēru vainagu un teicis atvadu runu pie Dārziņa kapa Mārtiņa kapos, tiesa  gan krievu valodā.</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Kazarovs tēlots kā pašapzinīgs, vitāls, sentimenta brīdī dāsns un devīgs, savā jomā veiksmīgs un prasmīgs uzņēmējs. Savas jomas pionieris. Cilvēks, kam piemīt laba gastronomiska gaume.</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lastRenderedPageBreak/>
        <w:t>“Jenovks Kazarovs dusmojās, kad uzzināja, ka viņa kundes atkal ‘plostojuši’ kaut kur alus un brandvīna kabakos un krogos, teikdams, ka viņš jau arī varot kārumniekiem te turēt pa kurvim alus, vai pudelei spirta, ja kachetietis kļuvis apnicīgs. Un brīnījās, kā īsts gurmens vispār varot kļūt neuzticīgs saulainai kvēlās Kachetijas spēka dzirai, apmainot to pret plāno miežu un apiņu sulu, vai riebīgi - rūgto kroņa kartupeļu zupu.</w:t>
      </w:r>
      <w:r>
        <w:rPr>
          <w:rStyle w:val="FootnoteReference"/>
          <w:rFonts w:ascii="Times New Roman" w:hAnsi="Times New Roman" w:cs="Times New Roman"/>
          <w:i/>
          <w:iCs/>
          <w:sz w:val="24"/>
          <w:szCs w:val="24"/>
        </w:rPr>
        <w:footnoteReference w:id="24"/>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Emīls Dārziņš kā īsts feinšmekers iemīļojis Erivaņas divgadīgo Nr 2</w:t>
      </w:r>
      <w:r>
        <w:rPr>
          <w:rFonts w:ascii="Times New Roman" w:hAnsi="Times New Roman" w:cs="Times New Roman"/>
          <w:b/>
          <w:bCs/>
          <w:sz w:val="24"/>
          <w:szCs w:val="24"/>
        </w:rPr>
        <w:t>, “</w:t>
      </w:r>
      <w:r>
        <w:rPr>
          <w:rFonts w:ascii="Times New Roman" w:hAnsi="Times New Roman" w:cs="Times New Roman"/>
          <w:i/>
          <w:iCs/>
          <w:sz w:val="24"/>
          <w:szCs w:val="24"/>
        </w:rPr>
        <w:t xml:space="preserve">pildītu puspudelēs, kas nebojājot ne smadzenes, ne nieres., turpretī tās izskalojot” </w:t>
      </w:r>
      <w:r>
        <w:rPr>
          <w:rStyle w:val="FootnoteReference"/>
          <w:rFonts w:ascii="Times New Roman" w:hAnsi="Times New Roman" w:cs="Times New Roman"/>
          <w:i/>
          <w:iCs/>
          <w:sz w:val="24"/>
          <w:szCs w:val="24"/>
        </w:rPr>
        <w:footnoteReference w:id="25"/>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Pēc ziņas par dēla nāvi, Dārziņa māte sazinās tieši ar Kazaravu, lūdz apziņot draugus, kas mēdza pulcēties viņa krodziņā. Pastā pieejams viens no retajiem telefoniem Rīgā. Kopā ar Pāvilu Kazarovs pārmeklē morgu pēc Dārziņa bojāejas uz dzelzceļa.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“Kazarovs jau krietni iesilis, paziņoja, ka viņš strīpo visus nelaiķa pie viņa ietaisītos parādus, kuri nebija gluži maziņi, un tad sāka dūkt kādu skumji vienmuļu armēņu dziesmiņu.”</w:t>
      </w:r>
      <w:r>
        <w:rPr>
          <w:rStyle w:val="FootnoteReference"/>
          <w:rFonts w:ascii="Times New Roman" w:hAnsi="Times New Roman" w:cs="Times New Roman"/>
          <w:i/>
          <w:iCs/>
          <w:sz w:val="24"/>
          <w:szCs w:val="24"/>
        </w:rPr>
        <w:footnoteReference w:id="26"/>
      </w:r>
      <w:r>
        <w:rPr>
          <w:rFonts w:ascii="Times New Roman" w:hAnsi="Times New Roman" w:cs="Times New Roman"/>
          <w:i/>
          <w:iCs/>
          <w:sz w:val="24"/>
          <w:szCs w:val="24"/>
        </w:rPr>
        <w:t>(166)</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Autors ekspresīvi apraksta dienvidnieka temperamentīgo, impulsīvo rīcību šajā traģiskajā brīdī:</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“Kazarovs atžilbis, paķēra Pāvulu zem rokas un viņi aizmeimuroja līdz tuvējam puķu veikalam, kur pasūtīja no dekadentu klubiņa Emīļa bērēm sevišķi krāšņu kapu vaiņagu.. Kazarovs aizkomandēja gubernatoru uz morgu nolikt tur rožu klēpi pie nelaiķa zārka, ko tas uzņēmās ar lielu prieku.“</w:t>
      </w:r>
      <w:r>
        <w:rPr>
          <w:rStyle w:val="FootnoteReference"/>
          <w:rFonts w:ascii="Times New Roman" w:hAnsi="Times New Roman" w:cs="Times New Roman"/>
          <w:i/>
          <w:iCs/>
          <w:sz w:val="24"/>
          <w:szCs w:val="24"/>
        </w:rPr>
        <w:footnoteReference w:id="27"/>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Interesanti, ka epizodiskā armēņa viesmīļa figūra romānā apveltīta ar savam amatam netipiskām īpašībām. Tas nekad neņem dzeramnaudu, uzskatot to par apkaunojumu. Un tāpēc iesaukts par gubernatoru, jo atšķirībā no Baltijas gubernatora, kurš  nekad neesot laidis garām iespēju pieņemt kukuļus, atteicies iedzīvoties uz klientu rēķina.</w:t>
      </w: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Alvis Lapiņš, Varis Brasla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lastRenderedPageBreak/>
        <w:t xml:space="preserve"> “Tagad es esmu klaviernieks” luga, pirmiestudējums  VDT 2022. gada 24. janvārī</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Armēņu uzņēmējs Enoks Kazarovs kā viens no tēliem parādās arī Emīla Dārziņa un Pāvila Jurjāna konfliktam veltītajā lugā, kuras darbība arī risinās Kazarova krogā. Luga iestudējis  režisors Varis Brasla un tā vēl arvien tiek rādīta Valmieras teātrī. Kazarova lomu atveido Janus Johansons. (1. attēlā pa kreisi ar vīna pudeli un servjeti rokā.) Lugā salīdzinot ar Gruznas romānu šis tēls ir vien ieskicēts, tiek izcelta tieši svešādības tematika un eksotiskā puse. Kazarova tēla atveidotājs nedzied vis armēņu, bet gan gruzīnu valodā.</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59264" behindDoc="0" locked="0" layoutInCell="0" allowOverlap="1" wp14:anchorId="548091C1" wp14:editId="636476D9">
            <wp:simplePos x="0" y="0"/>
            <wp:positionH relativeFrom="column">
              <wp:posOffset>-100965</wp:posOffset>
            </wp:positionH>
            <wp:positionV relativeFrom="paragraph">
              <wp:posOffset>154305</wp:posOffset>
            </wp:positionV>
            <wp:extent cx="4811395" cy="3204210"/>
            <wp:effectExtent l="0" t="0" r="0" b="0"/>
            <wp:wrapSquare wrapText="bothSides"/>
            <wp:docPr id="2" name="Attēls4 Copy 1" descr="A group of men in brown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4 Copy 1" descr="A group of men in brown outfits&#10;&#10;Description automatically generated"/>
                    <pic:cNvPicPr>
                      <a:picLocks noChangeAspect="1" noChangeArrowheads="1"/>
                    </pic:cNvPicPr>
                  </pic:nvPicPr>
                  <pic:blipFill>
                    <a:blip r:embed="rId7"/>
                    <a:stretch>
                      <a:fillRect/>
                    </a:stretch>
                  </pic:blipFill>
                  <pic:spPr bwMode="auto">
                    <a:xfrm>
                      <a:off x="0" y="0"/>
                      <a:ext cx="4811395" cy="3204210"/>
                    </a:xfrm>
                    <a:prstGeom prst="rect">
                      <a:avLst/>
                    </a:prstGeom>
                  </pic:spPr>
                </pic:pic>
              </a:graphicData>
            </a:graphic>
          </wp:anchor>
        </w:drawing>
      </w: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32"/>
          <w:szCs w:val="32"/>
        </w:rPr>
        <w:t xml:space="preserve"> </w:t>
      </w: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32"/>
          <w:szCs w:val="32"/>
        </w:rPr>
        <w:t xml:space="preserve"> </w:t>
      </w:r>
      <w:r>
        <w:rPr>
          <w:rFonts w:ascii="Times New Roman" w:hAnsi="Times New Roman" w:cs="Times New Roman"/>
          <w:sz w:val="24"/>
          <w:szCs w:val="24"/>
        </w:rPr>
        <w:t>5. gadījums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Lauris Gundars romāns “Svešam kļūt”</w:t>
      </w:r>
      <w:r>
        <w:rPr>
          <w:rStyle w:val="FootnoteReference"/>
          <w:rFonts w:ascii="Times New Roman" w:hAnsi="Times New Roman" w:cs="Times New Roman"/>
          <w:b/>
          <w:bCs/>
          <w:sz w:val="24"/>
          <w:szCs w:val="24"/>
        </w:rPr>
        <w:footnoteReference w:id="28"/>
      </w:r>
      <w:r>
        <w:rPr>
          <w:rFonts w:ascii="Times New Roman" w:hAnsi="Times New Roman" w:cs="Times New Roman"/>
          <w:b/>
          <w:bCs/>
          <w:sz w:val="24"/>
          <w:szCs w:val="24"/>
        </w:rPr>
        <w:br/>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 xml:space="preserve"> Onomastiskā transformācija: no stigmas par eksotiku</w:t>
      </w:r>
      <w:r>
        <w:rPr>
          <w:rStyle w:val="FootnoteReference"/>
          <w:rFonts w:ascii="Times New Roman" w:hAnsi="Times New Roman" w:cs="Times New Roman"/>
          <w:b/>
          <w:bCs/>
          <w:sz w:val="24"/>
          <w:szCs w:val="24"/>
        </w:rPr>
        <w:footnoteReference w:id="29"/>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lastRenderedPageBreak/>
        <w:t>Īstenā, slepenā nacionālā piederība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Lai gan romāna galvenā tematiskā līnija veltīta disidenta Gunāra Astras liktenim, tajā paralēli ieaužas paša romāna rakstnieka ambivalentais  dzīves stāsts.  Kolāžveidīgais romāna teksts, runājot literatūrzinātnieces Bārbalas Simsones vārdiem vēsta</w:t>
      </w:r>
      <w:r>
        <w:rPr>
          <w:rFonts w:ascii="Times New Roman" w:hAnsi="Times New Roman" w:cs="Times New Roman"/>
          <w:b/>
          <w:bCs/>
          <w:sz w:val="24"/>
          <w:szCs w:val="24"/>
        </w:rPr>
        <w:t xml:space="preserve"> </w:t>
      </w:r>
      <w:r>
        <w:rPr>
          <w:rFonts w:ascii="Times New Roman" w:hAnsi="Times New Roman" w:cs="Times New Roman"/>
          <w:sz w:val="24"/>
          <w:szCs w:val="24"/>
        </w:rPr>
        <w:t xml:space="preserve">“par  </w:t>
      </w:r>
      <w:r>
        <w:rPr>
          <w:rFonts w:ascii="Times New Roman" w:hAnsi="Times New Roman" w:cs="Times New Roman"/>
          <w:i/>
          <w:iCs/>
          <w:sz w:val="24"/>
          <w:szCs w:val="24"/>
        </w:rPr>
        <w:t xml:space="preserve">absurdi ļodzīgo dažādpatiesību pasauli, kurā starp kara beigām un neatkarības atjaunošanu mitinājās gan Gunārs un Lauris, gan mūsu, lasītāju, vecāki, vecvecāki un mēs paši.“ </w:t>
      </w:r>
      <w:r>
        <w:rPr>
          <w:rStyle w:val="FootnoteReference"/>
          <w:rFonts w:ascii="Times New Roman" w:hAnsi="Times New Roman" w:cs="Times New Roman"/>
          <w:i/>
          <w:iCs/>
          <w:sz w:val="24"/>
          <w:szCs w:val="24"/>
        </w:rPr>
        <w:footnoteReference w:id="30"/>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“Sajukusi pasaule bez skaidrām robežām un konkrētām atbildēm, pasaule, kurā plīvo jautājumi un izplūst patiesuma kontūras, pasaule, kurā, šķiet, laba un ļauna atzīšanas koks ir sazāģēts malkā, bet izpratne par morāli sarāvusies mazmazītiņa no Sibīrijas uzplūstošā aukstuma viļņos. Pasaule, kurā bija jāizdzīvo un kurā izdzīvoja, kā spēja.”</w:t>
      </w:r>
      <w:r>
        <w:rPr>
          <w:rStyle w:val="FootnoteReference"/>
          <w:rFonts w:ascii="Times New Roman" w:hAnsi="Times New Roman" w:cs="Times New Roman"/>
          <w:i/>
          <w:iCs/>
          <w:sz w:val="24"/>
          <w:szCs w:val="24"/>
        </w:rPr>
        <w:footnoteReference w:id="31"/>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     Jau grāmatas virsrakstā tiek pieteikta svešādības tēma autora dzīvesstāsta kontekstā  ir cieši savijusies ar paša etniskās izcelsmes apzināšanos, kas romānā cieši saistīta ar pārdomām par personvārda onomastiskām transformācijām dažādu sociālpolitisku apstākļu ietekmē.</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Galvenais varonis, audzis tautu draudzības paraugvalstī, jauns censonis tiek apsūdzēts čekā par latviešu nacionālismu un naidu pret krieviem.</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“Bet, biedri, paskatieties taču uz manu uzvārdu! - es sāku skaļi</w:t>
      </w:r>
      <w:r>
        <w:rPr>
          <w:rFonts w:ascii="Times New Roman" w:hAnsi="Times New Roman" w:cs="Times New Roman"/>
          <w:sz w:val="24"/>
          <w:szCs w:val="24"/>
        </w:rPr>
        <w:t xml:space="preserve"> smieties.</w:t>
      </w:r>
      <w:r>
        <w:rPr>
          <w:rStyle w:val="FootnoteReference"/>
          <w:rFonts w:ascii="Times New Roman" w:hAnsi="Times New Roman" w:cs="Times New Roman"/>
          <w:sz w:val="24"/>
          <w:szCs w:val="24"/>
        </w:rPr>
        <w:footnoteReference w:id="32"/>
      </w:r>
      <w:r>
        <w:rPr>
          <w:rStyle w:val="Vresrakstzmes"/>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Tobrīd puisim ar mikrofonu (matu ērkuli virs galvas) bija stipri nelatvisks uzvārds.”</w:t>
      </w:r>
    </w:p>
    <w:p w:rsidR="00F3491F" w:rsidRDefault="00F3491F" w:rsidP="00F3491F">
      <w:pPr>
        <w:pStyle w:val="Standard"/>
        <w:spacing w:line="360" w:lineRule="auto"/>
        <w:rPr>
          <w:rFonts w:ascii="Times New Roman" w:hAnsi="Times New Roman" w:cs="Times New Roman"/>
          <w:sz w:val="24"/>
          <w:szCs w:val="24"/>
        </w:rPr>
      </w:pPr>
      <w:r>
        <w:rPr>
          <w:rFonts w:ascii="Times New Roman" w:hAnsi="Times New Roman" w:cs="Times New Roman"/>
          <w:sz w:val="24"/>
          <w:szCs w:val="24"/>
        </w:rPr>
        <w:t>Jauneklis piedzīvo pamatīgu izbīli, bet pret krieviem nekādu nepatiku, naidu nejūt, pat draudzējas ar tiem.</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Aicinājums kļūt par ziņotāju, piezvanītāju un izbīlī trīsreiz izteikts “jā” nāk kā  zibens spēriens no skaidrām debesīm, jo rīkoties zemiski nekad nav bijis protagonista  prātā. Tomēr visu turpmāko dzīvi dēļ tā viņš taisnojas pats savā priekšā. Kā šo psiholoģisko stāvokli raksturojusi romāna recenzente Bārbala Simsone, turpinot dzīvot  paša “sirdsapziņas cietumā“</w:t>
      </w:r>
      <w:r>
        <w:rPr>
          <w:rStyle w:val="FootnoteReference"/>
          <w:rFonts w:ascii="Times New Roman" w:hAnsi="Times New Roman" w:cs="Times New Roman"/>
          <w:sz w:val="24"/>
          <w:szCs w:val="24"/>
        </w:rPr>
        <w:footnoteReference w:id="33"/>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lastRenderedPageBreak/>
        <w:t>Nacionālā piederība kā zīmogs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Neērtā nacionālā piederība satrauc armēņu izcelsmes latviešu puisi, kas grib studēt prestižā Maskavas augstskolā režiju, bet pēc atbildīgas partijas funkcionāres domām nevar tikt uzskatīts par īstu nacionālo kadru sava armēniskā uzvārda dēļ. Jaunais censonis šo situāciju “izjūt kā kaut ko nomācošu”</w:t>
      </w:r>
      <w:r>
        <w:rPr>
          <w:rFonts w:ascii="Times New Roman" w:hAnsi="Times New Roman" w:cs="Times New Roman"/>
          <w:b/>
          <w:bCs/>
          <w:sz w:val="24"/>
          <w:szCs w:val="24"/>
        </w:rPr>
        <w:t>,</w:t>
      </w:r>
      <w:r>
        <w:rPr>
          <w:rFonts w:ascii="Times New Roman" w:hAnsi="Times New Roman" w:cs="Times New Roman"/>
          <w:sz w:val="24"/>
          <w:szCs w:val="24"/>
        </w:rPr>
        <w:t xml:space="preserve"> ko iepriekš nebija apzinājies.</w:t>
      </w: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Uzvārds kā identitātes zīme</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Autors stāstot atkāpjas laikā atpakaļ, kad LPSR Kino komitejā bija jāiet pēc nacionālā kadra norīkojuma, ja gribēja studēt Maskavā. Viņš, kas bija “audzis par latvieti”</w:t>
      </w:r>
      <w:r>
        <w:rPr>
          <w:rFonts w:ascii="Times New Roman" w:hAnsi="Times New Roman" w:cs="Times New Roman"/>
          <w:b/>
          <w:bCs/>
          <w:sz w:val="24"/>
          <w:szCs w:val="24"/>
        </w:rPr>
        <w:t>,</w:t>
      </w:r>
      <w:r>
        <w:rPr>
          <w:rFonts w:ascii="Times New Roman" w:hAnsi="Times New Roman" w:cs="Times New Roman"/>
          <w:sz w:val="24"/>
          <w:szCs w:val="24"/>
        </w:rPr>
        <w:t xml:space="preserve"> paša vārdiem runājot, 11 gadus gājis latviešu skolā, jādomā, uzvārda dēļ tiek identificēts ar citas nācijas pārstāvi (pats uzvārds gan tekstā ne reizi netiek nosaukts un ir tāds kā tabu).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Paradoksālā kārtā čekiste gādā par okupētās valsts nācijas tīrības saglabāšanu -sarkastiski bilsts autors. Nacionālajam kadram arī ārēji ir jābūt ar pareizu marķējumu -  uzvārdu. Jauneklim tas ir tāds šoks, ka paša atbilde atmiņā nav saglabājusies</w:t>
      </w:r>
      <w:r>
        <w:rPr>
          <w:rFonts w:ascii="Times New Roman" w:hAnsi="Times New Roman" w:cs="Times New Roman"/>
          <w:i/>
          <w:iCs/>
          <w:sz w:val="24"/>
          <w:szCs w:val="24"/>
        </w:rPr>
        <w:t>.</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Vēlāk, ierodoties jau patstāvīgi Maskavā uz iestājpārbaudījumiem, krievu paziņas “viņu apgaismo” – piederība armēņiem liks uzņemšanas komisijai viņu potenciāli uzskatīt par </w:t>
      </w:r>
      <w:r>
        <w:rPr>
          <w:rFonts w:ascii="Times New Roman" w:hAnsi="Times New Roman" w:cs="Times New Roman"/>
          <w:i/>
          <w:iCs/>
          <w:sz w:val="24"/>
          <w:szCs w:val="24"/>
        </w:rPr>
        <w:t>"maksātspējīgas nācijas atvasi"</w:t>
      </w:r>
      <w:r>
        <w:rPr>
          <w:rStyle w:val="FootnoteReference"/>
          <w:rFonts w:ascii="Times New Roman" w:hAnsi="Times New Roman" w:cs="Times New Roman"/>
          <w:b/>
          <w:bCs/>
          <w:i/>
          <w:iCs/>
          <w:sz w:val="24"/>
          <w:szCs w:val="24"/>
        </w:rPr>
        <w:footnoteReference w:id="34"/>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“Kaut arī es nekad nebiju bijis savu tālo senču</w:t>
      </w:r>
      <w:r>
        <w:rPr>
          <w:rFonts w:ascii="Times New Roman" w:hAnsi="Times New Roman" w:cs="Times New Roman"/>
          <w:b/>
          <w:bCs/>
          <w:i/>
          <w:iCs/>
          <w:sz w:val="24"/>
          <w:szCs w:val="24"/>
        </w:rPr>
        <w:t xml:space="preserve"> </w:t>
      </w:r>
      <w:r>
        <w:rPr>
          <w:rFonts w:ascii="Times New Roman" w:hAnsi="Times New Roman" w:cs="Times New Roman"/>
          <w:i/>
          <w:iCs/>
          <w:sz w:val="24"/>
          <w:szCs w:val="24"/>
        </w:rPr>
        <w:t xml:space="preserve">dzimtenē, zināju, ka padomju armēņiem naudas netrūkst.” </w:t>
      </w:r>
      <w:r>
        <w:rPr>
          <w:rFonts w:ascii="Times New Roman" w:hAnsi="Times New Roman" w:cs="Times New Roman"/>
          <w:sz w:val="24"/>
          <w:szCs w:val="24"/>
        </w:rPr>
        <w:t>Seko stereotipiskis vispārinājums:</w:t>
      </w:r>
      <w:r>
        <w:rPr>
          <w:rFonts w:ascii="Times New Roman" w:hAnsi="Times New Roman" w:cs="Times New Roman"/>
          <w:i/>
          <w:iCs/>
          <w:sz w:val="24"/>
          <w:szCs w:val="24"/>
        </w:rPr>
        <w:t xml:space="preserve"> "iespaidīgie ienākumi" tika izmantoti vietu un lietu iegādei, kā arī vairāk vai mazāk atklātai kukuļošanai.</w:t>
      </w:r>
      <w:r>
        <w:rPr>
          <w:rFonts w:ascii="Times New Roman" w:hAnsi="Times New Roman" w:cs="Times New Roman"/>
          <w:b/>
          <w:bCs/>
          <w:i/>
          <w:iCs/>
          <w:sz w:val="24"/>
          <w:szCs w:val="24"/>
        </w:rPr>
        <w:t xml:space="preserve">” </w:t>
      </w:r>
      <w:r>
        <w:rPr>
          <w:rStyle w:val="FootnoteReference"/>
          <w:rFonts w:ascii="Times New Roman" w:hAnsi="Times New Roman" w:cs="Times New Roman"/>
          <w:b/>
          <w:bCs/>
          <w:i/>
          <w:iCs/>
          <w:sz w:val="24"/>
          <w:szCs w:val="24"/>
        </w:rPr>
        <w:footnoteReference w:id="35"/>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Slēpts sarkasms, nesaudzīga kritika, kas izteikta it kā rotaļīgā veidā,  netieši norāda uz to, ka viss bijis šķietami  nopērkams, visi uzpērkami</w:t>
      </w:r>
      <w:r>
        <w:rPr>
          <w:rFonts w:ascii="Times New Roman" w:hAnsi="Times New Roman" w:cs="Times New Roman"/>
          <w:i/>
          <w:iCs/>
          <w:sz w:val="24"/>
          <w:szCs w:val="24"/>
        </w:rPr>
        <w:t>.</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Uzsvērta distance telpā -</w:t>
      </w:r>
      <w:r>
        <w:rPr>
          <w:rFonts w:ascii="Times New Roman" w:hAnsi="Times New Roman" w:cs="Times New Roman"/>
          <w:i/>
          <w:iCs/>
          <w:sz w:val="24"/>
          <w:szCs w:val="24"/>
        </w:rPr>
        <w:t xml:space="preserve"> Armēnija ir tālu no Latvijas.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lastRenderedPageBreak/>
        <w:t>Baltiešus</w:t>
      </w:r>
      <w:r>
        <w:rPr>
          <w:rFonts w:ascii="Times New Roman" w:hAnsi="Times New Roman" w:cs="Times New Roman"/>
          <w:i/>
          <w:iCs/>
          <w:sz w:val="24"/>
          <w:szCs w:val="24"/>
        </w:rPr>
        <w:t xml:space="preserve">, </w:t>
      </w:r>
      <w:r>
        <w:rPr>
          <w:rFonts w:ascii="Times New Roman" w:hAnsi="Times New Roman" w:cs="Times New Roman"/>
          <w:sz w:val="24"/>
          <w:szCs w:val="24"/>
        </w:rPr>
        <w:t xml:space="preserve">savukārt, protagonists raksturo kā biklus, armēņus -  kā izveicīgus. Tādus, </w:t>
      </w:r>
      <w:r>
        <w:rPr>
          <w:rFonts w:ascii="Times New Roman" w:hAnsi="Times New Roman" w:cs="Times New Roman"/>
          <w:b/>
          <w:bCs/>
          <w:sz w:val="24"/>
          <w:szCs w:val="24"/>
        </w:rPr>
        <w:t xml:space="preserve"> </w:t>
      </w:r>
      <w:r>
        <w:rPr>
          <w:rFonts w:ascii="Times New Roman" w:hAnsi="Times New Roman" w:cs="Times New Roman"/>
          <w:sz w:val="24"/>
          <w:szCs w:val="24"/>
        </w:rPr>
        <w:t>kas “</w:t>
      </w:r>
      <w:r>
        <w:rPr>
          <w:rFonts w:ascii="Times New Roman" w:hAnsi="Times New Roman" w:cs="Times New Roman"/>
          <w:i/>
          <w:iCs/>
          <w:sz w:val="24"/>
          <w:szCs w:val="24"/>
        </w:rPr>
        <w:t>nekautrējās savā labā izmantot padomju valsts aplamo saimniekošanas sistēmu.”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Blēdīšanās tiek raksturota kā ikdienišķa parādība un kā slēpta protesta forma, kas tikusi pat neveiklo netieši apbrīnota.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Armēņu  galvenā stihija esot bijusi “</w:t>
      </w:r>
      <w:r>
        <w:rPr>
          <w:rFonts w:ascii="Times New Roman" w:hAnsi="Times New Roman" w:cs="Times New Roman"/>
          <w:i/>
          <w:iCs/>
          <w:sz w:val="24"/>
          <w:szCs w:val="24"/>
        </w:rPr>
        <w:t xml:space="preserve">visu legalitātes pakāpju tirgošanās”, </w:t>
      </w:r>
      <w:r>
        <w:rPr>
          <w:rFonts w:ascii="Times New Roman" w:hAnsi="Times New Roman" w:cs="Times New Roman"/>
          <w:sz w:val="24"/>
          <w:szCs w:val="24"/>
        </w:rPr>
        <w:t>kas gan ir stipri stereotipizēts vērtējums.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sz w:val="24"/>
          <w:szCs w:val="24"/>
        </w:rPr>
        <w:t>Pragmatisms uzvārda izvēlē</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 xml:space="preserve">Pēc tam, kad neizdodas iestāties Maskavā kino institūtā, mērķtiecīgais jauneklis studē jurisprudenci un strādā televīzijā, jo tai pienākas lielāks  nacionālo kadru apjoms. Un kādā brīdī tiek pieņemts lēmums mainīt svešādo uzvārdu. </w:t>
      </w:r>
      <w:r>
        <w:rPr>
          <w:rFonts w:ascii="Times New Roman" w:hAnsi="Times New Roman" w:cs="Times New Roman"/>
          <w:i/>
          <w:iCs/>
          <w:sz w:val="24"/>
          <w:szCs w:val="24"/>
        </w:rPr>
        <w:t>"Pēc dažiem gadiem es savu formālo zīmogu nomainīju uz derīgāku - mātes dzimtas uzvārdu"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Turpmāk jaunais censonis “</w:t>
      </w:r>
      <w:r>
        <w:rPr>
          <w:rFonts w:ascii="Times New Roman" w:hAnsi="Times New Roman" w:cs="Times New Roman"/>
          <w:i/>
          <w:iCs/>
          <w:sz w:val="24"/>
          <w:szCs w:val="24"/>
        </w:rPr>
        <w:t>sistēmas muļķotāja tiesības</w:t>
      </w:r>
      <w:r>
        <w:rPr>
          <w:rFonts w:ascii="Times New Roman" w:hAnsi="Times New Roman" w:cs="Times New Roman"/>
          <w:sz w:val="24"/>
          <w:szCs w:val="24"/>
        </w:rPr>
        <w:t>” piedēvē arī pats sev.</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i/>
          <w:iCs/>
          <w:sz w:val="24"/>
          <w:szCs w:val="24"/>
        </w:rPr>
        <w:t xml:space="preserve">Vēlāk mans viltus nosaukums nodrošināja arī republikas vietu citā Maskavas kinoskolā, kas bija pat izcilāka par to, kurā trīsreiz neiestājos.” </w:t>
      </w:r>
      <w:r>
        <w:rPr>
          <w:rStyle w:val="FootnoteReference"/>
          <w:rFonts w:ascii="Times New Roman" w:hAnsi="Times New Roman" w:cs="Times New Roman"/>
          <w:sz w:val="24"/>
          <w:szCs w:val="24"/>
        </w:rPr>
        <w:footnoteReference w:id="36"/>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Televīzijā ar nomainītu uzvārdu pat ir cerība tikt pie galvenā  režisora vietas, tikai iestājoties partijā, kā pieņemts. Plāni pajūk piemirsta konflikta dēļ. “</w:t>
      </w:r>
      <w:r>
        <w:rPr>
          <w:rFonts w:ascii="Times New Roman" w:hAnsi="Times New Roman" w:cs="Times New Roman"/>
          <w:i/>
          <w:iCs/>
          <w:sz w:val="24"/>
          <w:szCs w:val="24"/>
        </w:rPr>
        <w:t>Kaut upe vairs tik krāčaina nebija, vēl lāgā nemācēju jaunā uzvārda laivā peldēt pa to svilpojot”</w:t>
      </w:r>
      <w:r>
        <w:rPr>
          <w:rFonts w:ascii="Times New Roman" w:hAnsi="Times New Roman" w:cs="Times New Roman"/>
          <w:sz w:val="24"/>
          <w:szCs w:val="24"/>
        </w:rPr>
        <w:t>(metaforiski izvērsts teiciens - peldēt pa straumei).</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Pielāgošanās un nākotne ir divi organiski saistīti vārdi</w:t>
      </w:r>
      <w:r>
        <w:rPr>
          <w:rStyle w:val="FootnoteReference"/>
          <w:rFonts w:ascii="Times New Roman" w:hAnsi="Times New Roman" w:cs="Times New Roman"/>
          <w:sz w:val="24"/>
          <w:szCs w:val="24"/>
        </w:rPr>
        <w:footnoteReference w:id="37"/>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Autors sevi jaunībā raksturo kā “</w:t>
      </w:r>
      <w:r>
        <w:rPr>
          <w:rFonts w:ascii="Times New Roman" w:hAnsi="Times New Roman" w:cs="Times New Roman"/>
          <w:i/>
          <w:iCs/>
          <w:sz w:val="24"/>
          <w:szCs w:val="24"/>
        </w:rPr>
        <w:t>enerģiski pa dzīves kāpnēm augšup skrienošu jaunekli</w:t>
      </w:r>
      <w:r>
        <w:rPr>
          <w:rFonts w:ascii="Times New Roman" w:hAnsi="Times New Roman" w:cs="Times New Roman"/>
          <w:sz w:val="24"/>
          <w:szCs w:val="24"/>
        </w:rPr>
        <w:t>”.</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Skolas laikā gan viņa uzvedība bijusi drīzāk dumpīga, bez noslieces uz pielāgošanos. Citēšu vēlreiz Bārbalas Simsones recenziju: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 xml:space="preserve">Autors stāstu sāk pats ar sevi – ar 1976. gadā pabeigto vidusskolu un tās laikā realizētajām maigajām dumpības izpausmēm pret padomju režīmu, sākot ar baznīcas apmeklējumu </w:t>
      </w:r>
      <w:r>
        <w:rPr>
          <w:rFonts w:ascii="Times New Roman" w:hAnsi="Times New Roman" w:cs="Times New Roman"/>
          <w:i/>
          <w:iCs/>
          <w:sz w:val="24"/>
          <w:szCs w:val="24"/>
        </w:rPr>
        <w:lastRenderedPageBreak/>
        <w:t>Ziemassvētkos un beidzot ar tekstā daudzkārt piesaukto mežonīgo matu sakārtojumu, ko tolaik dēvēja par "mikrofongalvu". </w:t>
      </w:r>
      <w:r>
        <w:rPr>
          <w:rStyle w:val="FootnoteReference"/>
          <w:rFonts w:ascii="Times New Roman" w:hAnsi="Times New Roman" w:cs="Times New Roman"/>
          <w:i/>
          <w:iCs/>
          <w:sz w:val="24"/>
          <w:szCs w:val="24"/>
        </w:rPr>
        <w:footnoteReference w:id="38"/>
      </w:r>
      <w:r>
        <w:rPr>
          <w:rFonts w:ascii="Times New Roman" w:hAnsi="Times New Roman" w:cs="Times New Roman"/>
          <w:i/>
          <w:iCs/>
          <w:sz w:val="24"/>
          <w:szCs w:val="24"/>
        </w:rPr>
        <w:t xml:space="preserve">  </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Romāns noslēdzas ar nakts zvanu no disidenta Gunāra A. tiesneša. Viņš uzrunā bijušo kolēģi  vecajā, armēniskajā uzvārdā, kas tekstā netiek nosaukts. Zvanītāja  valoda, ir izaicinoša, pat nicīga.</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Nu jau pieredzējušais vīrs taisnojas, ka jaunības dedzībā nav pat iedomājies, ka vienkārši peld pa straumi.</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sz w:val="24"/>
          <w:szCs w:val="24"/>
        </w:rPr>
        <w:t>Romāns noslēdzas ar aprautu sarunu, tā teikt, ar atvērtām beigām, kas vēlreiz aktualizē domu par citādu etnisko izcelsmi kā vienu no svešāduma aspektiem un liek pienācīgi novērtēt personvārda transformācijas  kā cilvēka  identitāti konstruējošu elementu.</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“Agrāk tu nedomāji, ka Gunārs aizgājis pie tēviem dabiskā ceļā</w:t>
      </w:r>
      <w:r>
        <w:rPr>
          <w:rFonts w:ascii="Times New Roman" w:hAnsi="Times New Roman" w:cs="Times New Roman"/>
          <w:b/>
          <w:bCs/>
          <w:i/>
          <w:iCs/>
          <w:sz w:val="24"/>
          <w:szCs w:val="24"/>
        </w:rPr>
        <w:t xml:space="preserve">. </w:t>
      </w:r>
      <w:r>
        <w:rPr>
          <w:rFonts w:ascii="Times New Roman" w:hAnsi="Times New Roman" w:cs="Times New Roman"/>
          <w:i/>
          <w:iCs/>
          <w:sz w:val="24"/>
          <w:szCs w:val="24"/>
        </w:rPr>
        <w:t>Esi jau pārdzimis?(...)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Un atkal armēņu uzvārds.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 Klau, mani sauc citādi, - vēl turējos.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i/>
          <w:iCs/>
          <w:sz w:val="24"/>
          <w:szCs w:val="24"/>
        </w:rPr>
        <w:t>- Es jau tieši to arī saku: beidzot esi īsts savējais.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61312" behindDoc="0" locked="0" layoutInCell="0" allowOverlap="1" wp14:anchorId="2030510E" wp14:editId="78A240FA">
            <wp:simplePos x="0" y="0"/>
            <wp:positionH relativeFrom="column">
              <wp:posOffset>0</wp:posOffset>
            </wp:positionH>
            <wp:positionV relativeFrom="paragraph">
              <wp:posOffset>171450</wp:posOffset>
            </wp:positionV>
            <wp:extent cx="5274310" cy="5274310"/>
            <wp:effectExtent l="0" t="0" r="0" b="0"/>
            <wp:wrapSquare wrapText="bothSides"/>
            <wp:docPr id="3" name="Attēls5" descr="A person taking a picture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5" descr="A person taking a picture of a statue&#10;&#10;Description automatically generated"/>
                    <pic:cNvPicPr>
                      <a:picLocks noChangeAspect="1" noChangeArrowheads="1"/>
                    </pic:cNvPicPr>
                  </pic:nvPicPr>
                  <pic:blipFill>
                    <a:blip r:embed="rId8"/>
                    <a:stretch>
                      <a:fillRect/>
                    </a:stretch>
                  </pic:blipFill>
                  <pic:spPr bwMode="auto">
                    <a:xfrm>
                      <a:off x="0" y="0"/>
                      <a:ext cx="5274310" cy="5274310"/>
                    </a:xfrm>
                    <a:prstGeom prst="rect">
                      <a:avLst/>
                    </a:prstGeom>
                  </pic:spPr>
                </pic:pic>
              </a:graphicData>
            </a:graphic>
          </wp:anchor>
        </w:drawing>
      </w:r>
    </w:p>
    <w:p w:rsidR="00F3491F" w:rsidRDefault="00F3491F" w:rsidP="00F3491F">
      <w:pPr>
        <w:pStyle w:val="Standard"/>
        <w:spacing w:line="360" w:lineRule="auto"/>
        <w:rPr>
          <w:rFonts w:ascii="Times New Roman" w:hAnsi="Times New Roman" w:cs="Times New Roman"/>
        </w:rPr>
      </w:pP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rPr>
        <w:t xml:space="preserve"> Pielikums.</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b/>
          <w:bCs/>
        </w:rPr>
        <w:t>5 vietas, kuras Jānis (Joņevs) nofotogrāfēja Armēnijā.</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rPr>
        <w:t>Izdevniecība New Mag 2024.g. izdeva “Jelgava 94” armēņu valodā Nairas Hačatrjanas tulkojumā. Grāmatas prezentācijas tūres ietvaros rakstnieks apmeklēja Armēniju 2024.gada novembrī. Pēc izdevēja lūguma nosauca 5 objektus, kas uz viņu atstājuši visspilgtāko iespaidu. Viens no tiem bija Lielās auglības mātes - dievietes Anahitas galva, kas atvesta no Britu muzeja un izstādīta Armēnijas Nacionālajā Vēstures muzejā.</w:t>
      </w:r>
    </w:p>
    <w:p w:rsidR="00F3491F" w:rsidRDefault="00F3491F" w:rsidP="00F3491F">
      <w:pPr>
        <w:pStyle w:val="Standard"/>
        <w:spacing w:line="360" w:lineRule="auto"/>
        <w:rPr>
          <w:rFonts w:ascii="Times New Roman" w:hAnsi="Times New Roman" w:cs="Times New Roman"/>
        </w:rPr>
      </w:pPr>
      <w:r>
        <w:rPr>
          <w:rFonts w:ascii="Times New Roman" w:hAnsi="Times New Roman" w:cs="Times New Roman"/>
        </w:rPr>
        <w:t>Tuvāk skat. https://www.thearmenianreport.com/post/ancient-statue-of-armenian-goddess-anahit-arrives-in-yerevan-for-the-first-time</w:t>
      </w:r>
    </w:p>
    <w:p w:rsidR="00746017" w:rsidRPr="00F3491F" w:rsidRDefault="00746017">
      <w:pPr>
        <w:rPr>
          <w:lang w:val="lv-LV"/>
        </w:rPr>
      </w:pPr>
      <w:bookmarkStart w:id="1" w:name="_GoBack"/>
      <w:bookmarkEnd w:id="1"/>
    </w:p>
    <w:sectPr w:rsidR="00746017" w:rsidRPr="00F349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725" w:rsidRDefault="00625725" w:rsidP="00F3491F">
      <w:pPr>
        <w:spacing w:after="0" w:line="240" w:lineRule="auto"/>
      </w:pPr>
      <w:r>
        <w:separator/>
      </w:r>
    </w:p>
  </w:endnote>
  <w:endnote w:type="continuationSeparator" w:id="0">
    <w:p w:rsidR="00625725" w:rsidRDefault="00625725" w:rsidP="00F34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725" w:rsidRDefault="00625725" w:rsidP="00F3491F">
      <w:pPr>
        <w:spacing w:after="0" w:line="240" w:lineRule="auto"/>
      </w:pPr>
      <w:r>
        <w:separator/>
      </w:r>
    </w:p>
  </w:footnote>
  <w:footnote w:type="continuationSeparator" w:id="0">
    <w:p w:rsidR="00625725" w:rsidRDefault="00625725" w:rsidP="00F3491F">
      <w:pPr>
        <w:spacing w:after="0" w:line="240" w:lineRule="auto"/>
      </w:pPr>
      <w:r>
        <w:continuationSeparator/>
      </w:r>
    </w:p>
  </w:footnote>
  <w:footnote w:id="1">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Ščerbinskis, Valters, </w:t>
      </w:r>
      <w:r>
        <w:rPr>
          <w:rFonts w:ascii="Times New Roman" w:hAnsi="Times New Roman" w:cs="Times New Roman"/>
          <w:i/>
          <w:iCs/>
        </w:rPr>
        <w:t>Ienācāji no tālienes</w:t>
      </w:r>
      <w:r>
        <w:rPr>
          <w:rFonts w:ascii="Times New Roman" w:hAnsi="Times New Roman" w:cs="Times New Roman"/>
        </w:rPr>
        <w:t xml:space="preserve"> (Nordik, Rīga, 1998), 48.</w:t>
      </w:r>
    </w:p>
  </w:footnote>
  <w:footnote w:id="2">
    <w:p w:rsidR="00F3491F" w:rsidRDefault="00F3491F" w:rsidP="00F3491F">
      <w:pPr>
        <w:pStyle w:val="Footnote"/>
        <w:spacing w:after="0" w:line="240" w:lineRule="auto"/>
        <w:ind w:firstLine="0"/>
        <w:rPr>
          <w:rFonts w:ascii="Times New Roman" w:hAnsi="Times New Roman" w:cs="Times New Roman"/>
        </w:rPr>
      </w:pPr>
      <w:r>
        <w:rPr>
          <w:rStyle w:val="Vresrakstzmes"/>
        </w:rPr>
        <w:footnoteRef/>
      </w:r>
      <w:r>
        <w:rPr>
          <w:rFonts w:ascii="Times New Roman" w:hAnsi="Times New Roman" w:cs="Times New Roman"/>
        </w:rPr>
        <w:t xml:space="preserve"> </w:t>
      </w:r>
      <w:hyperlink r:id="rId1">
        <w:r>
          <w:rPr>
            <w:rFonts w:ascii="Times New Roman" w:hAnsi="Times New Roman" w:cs="Times New Roman"/>
          </w:rPr>
          <w:t>Reise zum Ararat. Th. 1-2 / von Dr. Friedrich Parrot ... unternommen in Begleitung der Herren Candidaten der Philosophie Wassili Fedorov, Stud. der Minaralogie Maximil. Behaghel von Adlerskron, Studiosen der Medicin Julius Hehn und Karl Schiemann</w:t>
        </w:r>
      </w:hyperlink>
    </w:p>
  </w:footnote>
  <w:footnote w:id="3">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i/>
          <w:iCs/>
        </w:rPr>
        <w:tab/>
        <w:t xml:space="preserve"> Kārkla Zita, Par piemiņu. Minnas Freimanes ceļa apraksti. Ievads </w:t>
      </w:r>
      <w:r>
        <w:rPr>
          <w:rFonts w:ascii="Times New Roman" w:hAnsi="Times New Roman" w:cs="Times New Roman"/>
        </w:rPr>
        <w:t>(LU LFMI, Rīga, 2021), 63.</w:t>
      </w:r>
    </w:p>
  </w:footnote>
  <w:footnote w:id="4">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Kārkla Zita, Par piemiņu.</w:t>
      </w:r>
      <w:r>
        <w:rPr>
          <w:rFonts w:ascii="Times New Roman" w:hAnsi="Times New Roman" w:cs="Times New Roman"/>
          <w:i/>
          <w:iCs/>
        </w:rPr>
        <w:t xml:space="preserve"> Minnas Freimanes ceļa apraksti. Ievads</w:t>
      </w:r>
      <w:r>
        <w:rPr>
          <w:rFonts w:ascii="Times New Roman" w:hAnsi="Times New Roman" w:cs="Times New Roman"/>
        </w:rPr>
        <w:t>(LU LFMI, Rīga, 2021), 47.</w:t>
      </w:r>
    </w:p>
  </w:footnote>
  <w:footnote w:id="5">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Tabūns Broņislavs, </w:t>
      </w:r>
      <w:r>
        <w:rPr>
          <w:rFonts w:ascii="Times New Roman" w:hAnsi="Times New Roman" w:cs="Times New Roman"/>
          <w:i/>
          <w:iCs/>
        </w:rPr>
        <w:t xml:space="preserve"> Latviešu un armēņu literāro sakaru aizsākumi.</w:t>
      </w:r>
      <w:r>
        <w:rPr>
          <w:rFonts w:ascii="Times New Roman" w:hAnsi="Times New Roman" w:cs="Times New Roman"/>
        </w:rPr>
        <w:t xml:space="preserve"> Karogs </w:t>
      </w:r>
      <w:r>
        <w:rPr>
          <w:rFonts w:ascii="Times New Roman" w:hAnsi="Times New Roman" w:cs="Times New Roman"/>
        </w:rPr>
        <w:br/>
        <w:t>1989.12.01 </w:t>
      </w:r>
    </w:p>
  </w:footnote>
  <w:footnote w:id="6">
    <w:p w:rsidR="00F3491F" w:rsidRDefault="00F3491F" w:rsidP="00F3491F">
      <w:pPr>
        <w:pStyle w:val="Footnote"/>
        <w:spacing w:after="0" w:line="240" w:lineRule="auto"/>
        <w:ind w:left="0" w:firstLine="0"/>
        <w:rPr>
          <w:rFonts w:ascii="Times New Roman" w:hAnsi="Times New Roman" w:cs="Times New Roman"/>
        </w:rPr>
      </w:pPr>
      <w:r>
        <w:rPr>
          <w:rStyle w:val="Vresrakstzmes"/>
        </w:rPr>
        <w:footnoteRef/>
      </w:r>
      <w:r>
        <w:rPr>
          <w:rFonts w:ascii="Times New Roman" w:hAnsi="Times New Roman" w:cs="Times New Roman"/>
        </w:rPr>
        <w:t xml:space="preserve">  LARA'S Lapa (Latviešu Rakstnieku Apvienība) 1983.04.01 </w:t>
      </w:r>
    </w:p>
  </w:footnote>
  <w:footnote w:id="7">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Ščerbinskis, Valters, </w:t>
      </w:r>
      <w:r>
        <w:rPr>
          <w:rFonts w:ascii="Times New Roman" w:hAnsi="Times New Roman" w:cs="Times New Roman"/>
          <w:i/>
          <w:iCs/>
        </w:rPr>
        <w:t>Ienācāji no tālienes</w:t>
      </w:r>
      <w:r>
        <w:rPr>
          <w:rFonts w:ascii="Times New Roman" w:hAnsi="Times New Roman" w:cs="Times New Roman"/>
        </w:rPr>
        <w:t xml:space="preserve"> (Nordik, Rīga, 1998), 48.</w:t>
      </w:r>
    </w:p>
  </w:footnote>
  <w:footnote w:id="8">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Rainis Jānis, </w:t>
      </w:r>
      <w:r>
        <w:rPr>
          <w:rFonts w:ascii="Times New Roman" w:hAnsi="Times New Roman" w:cs="Times New Roman"/>
          <w:i/>
          <w:iCs/>
        </w:rPr>
        <w:t xml:space="preserve">Visnelaimīgākā zeme un tauta, </w:t>
      </w:r>
      <w:r>
        <w:rPr>
          <w:rFonts w:ascii="Times New Roman" w:hAnsi="Times New Roman" w:cs="Times New Roman"/>
        </w:rPr>
        <w:t>Kopoti Raksti, 18. sējums, (Rīga, Zvaigzne, 1983), 484.</w:t>
      </w:r>
    </w:p>
    <w:p w:rsidR="00F3491F" w:rsidRDefault="00F3491F" w:rsidP="00F3491F">
      <w:pPr>
        <w:pStyle w:val="Footnote"/>
        <w:spacing w:after="0" w:line="240" w:lineRule="auto"/>
        <w:rPr>
          <w:rFonts w:ascii="Times New Roman" w:hAnsi="Times New Roman" w:cs="Times New Roman"/>
        </w:rPr>
      </w:pPr>
      <w:r>
        <w:rPr>
          <w:rFonts w:ascii="Times New Roman" w:hAnsi="Times New Roman" w:cs="Times New Roman"/>
        </w:rPr>
        <w:t xml:space="preserve"> Piezīme. Rakstā lietoto personvārdu atveide ir kļūdaina un būtu jālabo, jo tā bieži vien apgrūtina personu un reāliju, piemēram, literāro darbu virsrakstu  atpazīšanu.</w:t>
      </w:r>
    </w:p>
  </w:footnote>
  <w:footnote w:id="9">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 485.</w:t>
      </w:r>
    </w:p>
  </w:footnote>
  <w:footnote w:id="10">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 499.</w:t>
      </w:r>
    </w:p>
  </w:footnote>
  <w:footnote w:id="11">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Anahita – mīlestības un auglības dievība senajā armēņu panteonā. Skat.1. pielikumu.</w:t>
      </w:r>
    </w:p>
  </w:footnote>
  <w:footnote w:id="12">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w:t>
      </w:r>
    </w:p>
  </w:footnote>
  <w:footnote w:id="13">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Minna Freimane, </w:t>
      </w:r>
      <w:r>
        <w:rPr>
          <w:rFonts w:ascii="Times New Roman" w:hAnsi="Times New Roman" w:cs="Times New Roman"/>
          <w:i/>
          <w:iCs/>
        </w:rPr>
        <w:t>Par piemiņu. Minnas Freimanes ceļa apraksti</w:t>
      </w:r>
      <w:r>
        <w:rPr>
          <w:rFonts w:ascii="Times New Roman" w:hAnsi="Times New Roman" w:cs="Times New Roman"/>
        </w:rPr>
        <w:t xml:space="preserve"> (Rīga, LU LFMI, 2021), 74.</w:t>
      </w:r>
    </w:p>
  </w:footnote>
  <w:footnote w:id="14">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Minna Freimane, </w:t>
      </w:r>
      <w:r>
        <w:rPr>
          <w:rFonts w:ascii="Times New Roman" w:hAnsi="Times New Roman" w:cs="Times New Roman"/>
          <w:i/>
          <w:iCs/>
        </w:rPr>
        <w:t>Par piemiņu. Minnas Freimanes ceļa apraksti</w:t>
      </w:r>
      <w:r>
        <w:rPr>
          <w:rFonts w:ascii="Times New Roman" w:hAnsi="Times New Roman" w:cs="Times New Roman"/>
        </w:rPr>
        <w:t xml:space="preserve"> (Rīga, LU LFMI, 2021), 81.</w:t>
      </w:r>
    </w:p>
  </w:footnote>
  <w:footnote w:id="15">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Turpat.</w:t>
      </w:r>
    </w:p>
  </w:footnote>
  <w:footnote w:id="16">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 83.</w:t>
      </w:r>
    </w:p>
  </w:footnote>
  <w:footnote w:id="17">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 Jāteic, ka mūsdienās šai ziņā nekas daudz nav mainījies. Tikai parasti siers un zaļumi tiek  ietīti lavašā - pazemes skārda krāsnī  “tonirā” ceptajā plānajā armēņu maizē. Un tas nebūt nav saistīts tikai ar turīgumu vai trūcīgumu. Aicinot ēst, amēņi mēdz vaicāt: Hac utenq? Kas tulkojumā nozīmē : Vai uzēdīsim maizi? </w:t>
      </w:r>
      <w:r>
        <w:rPr>
          <w:rFonts w:ascii="Times New Roman" w:hAnsi="Times New Roman" w:cs="Times New Roman"/>
        </w:rPr>
        <w:softHyphen/>
        <w:t xml:space="preserve"> Arī ūdens labprāt tiek piedzerts klāt, slavējot tā izcilās garšas īpašības.</w:t>
      </w:r>
    </w:p>
  </w:footnote>
  <w:footnote w:id="18">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Birznieks-Upītis, Ernests,</w:t>
      </w:r>
      <w:r>
        <w:rPr>
          <w:rFonts w:ascii="Times New Roman" w:hAnsi="Times New Roman" w:cs="Times New Roman"/>
          <w:i/>
          <w:iCs/>
        </w:rPr>
        <w:t xml:space="preserve"> Kopoti raksti</w:t>
      </w:r>
      <w:r>
        <w:rPr>
          <w:rFonts w:ascii="Times New Roman" w:hAnsi="Times New Roman" w:cs="Times New Roman"/>
        </w:rPr>
        <w:t>, III sējums, (Latvijas valsts izdevniecība, Rīga, 1948), 45.</w:t>
      </w:r>
    </w:p>
  </w:footnote>
  <w:footnote w:id="19">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Šī personvārda etimoloģija tiesa gan ir neskaidra.</w:t>
      </w:r>
    </w:p>
  </w:footnote>
  <w:footnote w:id="20">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 53.</w:t>
      </w:r>
    </w:p>
  </w:footnote>
  <w:footnote w:id="21">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Gruzna, Pāvils. Jaunā strāva (Otto Krolla izdevniecība, Augsburgā, 1946)</w:t>
      </w:r>
    </w:p>
  </w:footnote>
  <w:footnote w:id="22">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Turpat, 88.</w:t>
      </w:r>
    </w:p>
  </w:footnote>
  <w:footnote w:id="23">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w:t>
      </w:r>
    </w:p>
  </w:footnote>
  <w:footnote w:id="24">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Gruzna, Pāvils. </w:t>
      </w:r>
      <w:r>
        <w:rPr>
          <w:rFonts w:ascii="Times New Roman" w:hAnsi="Times New Roman" w:cs="Times New Roman"/>
          <w:i/>
          <w:iCs/>
        </w:rPr>
        <w:t>Jaunā Strāva,</w:t>
      </w:r>
      <w:r>
        <w:rPr>
          <w:rFonts w:ascii="Times New Roman" w:hAnsi="Times New Roman" w:cs="Times New Roman"/>
        </w:rPr>
        <w:t xml:space="preserve"> (Otto Krolla izdevniecība, Augsburgā, 1946), 145.</w:t>
      </w:r>
    </w:p>
  </w:footnote>
  <w:footnote w:id="25">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w:t>
      </w:r>
    </w:p>
  </w:footnote>
  <w:footnote w:id="26">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 , 166.</w:t>
      </w:r>
    </w:p>
  </w:footnote>
  <w:footnote w:id="27">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w:t>
      </w:r>
    </w:p>
  </w:footnote>
  <w:footnote w:id="28">
    <w:p w:rsidR="00F3491F" w:rsidRDefault="00F3491F" w:rsidP="00F3491F">
      <w:pPr>
        <w:pStyle w:val="Standard"/>
        <w:spacing w:after="0" w:line="240" w:lineRule="auto"/>
        <w:rPr>
          <w:rFonts w:ascii="Times New Roman" w:hAnsi="Times New Roman" w:cs="Times New Roman"/>
          <w:sz w:val="20"/>
          <w:szCs w:val="20"/>
        </w:rPr>
      </w:pPr>
      <w:r>
        <w:rPr>
          <w:rStyle w:val="Vresrakstzmes"/>
        </w:rPr>
        <w:footnoteRef/>
      </w:r>
      <w:r>
        <w:rPr>
          <w:rFonts w:ascii="Times New Roman" w:hAnsi="Times New Roman" w:cs="Times New Roman"/>
          <w:sz w:val="20"/>
          <w:szCs w:val="20"/>
        </w:rPr>
        <w:t xml:space="preserve"> Gundars, Lauris,</w:t>
      </w:r>
      <w:r>
        <w:rPr>
          <w:rFonts w:ascii="Times New Roman" w:hAnsi="Times New Roman" w:cs="Times New Roman"/>
          <w:b/>
          <w:bCs/>
          <w:sz w:val="20"/>
          <w:szCs w:val="20"/>
        </w:rPr>
        <w:t xml:space="preserve"> </w:t>
      </w:r>
      <w:r>
        <w:rPr>
          <w:rFonts w:ascii="Times New Roman" w:hAnsi="Times New Roman" w:cs="Times New Roman"/>
          <w:i/>
          <w:iCs/>
          <w:sz w:val="20"/>
          <w:szCs w:val="20"/>
        </w:rPr>
        <w:t>Svešam kļūt jeb stāsts par Gunāru A.</w:t>
      </w:r>
      <w:r>
        <w:rPr>
          <w:rFonts w:ascii="Times New Roman" w:hAnsi="Times New Roman" w:cs="Times New Roman"/>
          <w:sz w:val="20"/>
          <w:szCs w:val="20"/>
        </w:rPr>
        <w:t xml:space="preserve"> ( Rīga: Dienas Grāmata, 2021).</w:t>
      </w:r>
    </w:p>
  </w:footnote>
  <w:footnote w:id="29">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Turpat, 52-59.</w:t>
      </w:r>
    </w:p>
  </w:footnote>
  <w:footnote w:id="30">
    <w:p w:rsidR="00F3491F" w:rsidRDefault="00F3491F" w:rsidP="00F3491F">
      <w:pPr>
        <w:pStyle w:val="Standard"/>
        <w:spacing w:after="0" w:line="240" w:lineRule="auto"/>
        <w:rPr>
          <w:rFonts w:ascii="Times New Roman" w:hAnsi="Times New Roman" w:cs="Times New Roman"/>
          <w:sz w:val="20"/>
          <w:szCs w:val="20"/>
        </w:rPr>
      </w:pPr>
      <w:r>
        <w:rPr>
          <w:rStyle w:val="Vresrakstzmes"/>
        </w:rPr>
        <w:footnoteRef/>
      </w:r>
      <w:r>
        <w:rPr>
          <w:rFonts w:ascii="Times New Roman" w:hAnsi="Times New Roman" w:cs="Times New Roman"/>
          <w:sz w:val="20"/>
          <w:szCs w:val="20"/>
        </w:rPr>
        <w:t xml:space="preserve"> Simsone, Bārbala. Pirms gailis dziedās.</w:t>
      </w:r>
      <w:hyperlink r:id="rId2">
        <w:r>
          <w:rPr>
            <w:rFonts w:ascii="Times New Roman" w:hAnsi="Times New Roman" w:cs="Times New Roman"/>
            <w:sz w:val="20"/>
            <w:szCs w:val="20"/>
          </w:rPr>
          <w:t>https://www.diena.lv/raksts/kd/recenzijas/pirms-gailis-dziedas.-laura-gundara-romana-_svesam-klut-jeb-stasts-par-gunaru-a._-recenzija-14266212</w:t>
        </w:r>
      </w:hyperlink>
      <w:r>
        <w:rPr>
          <w:rFonts w:ascii="Times New Roman" w:hAnsi="Times New Roman" w:cs="Times New Roman"/>
          <w:sz w:val="20"/>
          <w:szCs w:val="20"/>
        </w:rPr>
        <w:t>, Skatīts 20.11. 2024.</w:t>
      </w:r>
    </w:p>
  </w:footnote>
  <w:footnote w:id="31">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Turpat.</w:t>
      </w:r>
    </w:p>
  </w:footnote>
  <w:footnote w:id="32">
    <w:p w:rsidR="00F3491F" w:rsidRDefault="00F3491F" w:rsidP="00F3491F">
      <w:pPr>
        <w:pStyle w:val="Standard"/>
        <w:spacing w:after="0" w:line="240" w:lineRule="auto"/>
        <w:rPr>
          <w:rFonts w:ascii="Times New Roman" w:hAnsi="Times New Roman" w:cs="Times New Roman"/>
          <w:sz w:val="20"/>
          <w:szCs w:val="20"/>
        </w:rPr>
      </w:pPr>
      <w:r>
        <w:rPr>
          <w:rStyle w:val="Vresrakstzmes"/>
        </w:rPr>
        <w:footnoteRef/>
      </w:r>
      <w:r>
        <w:rPr>
          <w:rFonts w:ascii="Times New Roman" w:hAnsi="Times New Roman" w:cs="Times New Roman"/>
          <w:sz w:val="20"/>
          <w:szCs w:val="20"/>
        </w:rPr>
        <w:t xml:space="preserve">    Gundars, Lauris,</w:t>
      </w:r>
      <w:r>
        <w:rPr>
          <w:rFonts w:ascii="Times New Roman" w:hAnsi="Times New Roman" w:cs="Times New Roman"/>
          <w:b/>
          <w:bCs/>
          <w:sz w:val="20"/>
          <w:szCs w:val="20"/>
        </w:rPr>
        <w:t xml:space="preserve"> </w:t>
      </w:r>
      <w:r>
        <w:rPr>
          <w:rFonts w:ascii="Times New Roman" w:hAnsi="Times New Roman" w:cs="Times New Roman"/>
          <w:i/>
          <w:iCs/>
          <w:sz w:val="20"/>
          <w:szCs w:val="20"/>
        </w:rPr>
        <w:t>Svešam kļūt jeb stāsts par Gunāru A.</w:t>
      </w:r>
      <w:r>
        <w:rPr>
          <w:rFonts w:ascii="Times New Roman" w:hAnsi="Times New Roman" w:cs="Times New Roman"/>
          <w:sz w:val="20"/>
          <w:szCs w:val="20"/>
        </w:rPr>
        <w:t xml:space="preserve"> ( Rīga: Dienas Grāmata, 2021), 47.</w:t>
      </w:r>
    </w:p>
  </w:footnote>
  <w:footnote w:id="33">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w:t>
      </w:r>
    </w:p>
  </w:footnote>
  <w:footnote w:id="34">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Gundars, Lauris, Svešam kļūt, (Dienas Grāmata, Rīga, 2021), 91.</w:t>
      </w:r>
    </w:p>
  </w:footnote>
  <w:footnote w:id="35">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Turpat, 90.</w:t>
      </w:r>
    </w:p>
  </w:footnote>
  <w:footnote w:id="36">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w:t>
      </w:r>
    </w:p>
  </w:footnote>
  <w:footnote w:id="37">
    <w:p w:rsidR="00F3491F" w:rsidRDefault="00F3491F" w:rsidP="00F3491F">
      <w:pPr>
        <w:pStyle w:val="Footnote"/>
        <w:spacing w:after="0" w:line="240" w:lineRule="auto"/>
        <w:rPr>
          <w:rFonts w:ascii="Times New Roman" w:hAnsi="Times New Roman" w:cs="Times New Roman"/>
        </w:rPr>
      </w:pPr>
      <w:r>
        <w:rPr>
          <w:rStyle w:val="Vresrakstzmes"/>
        </w:rPr>
        <w:footnoteRef/>
      </w:r>
      <w:r>
        <w:rPr>
          <w:rFonts w:ascii="Times New Roman" w:hAnsi="Times New Roman" w:cs="Times New Roman"/>
        </w:rPr>
        <w:tab/>
        <w:t xml:space="preserve"> Turpat, 117.</w:t>
      </w:r>
    </w:p>
  </w:footnote>
  <w:footnote w:id="38">
    <w:p w:rsidR="00F3491F" w:rsidRDefault="00F3491F" w:rsidP="00F3491F">
      <w:pPr>
        <w:pStyle w:val="Footnote"/>
        <w:spacing w:after="0" w:line="240" w:lineRule="auto"/>
        <w:rPr>
          <w:rFonts w:ascii="Times New Roman" w:hAnsi="Times New Roman" w:cs="Times New Roman"/>
        </w:rPr>
      </w:pPr>
      <w:r>
        <w:rPr>
          <w:rStyle w:val="Vresrakstzmes"/>
        </w:rPr>
        <w:footnoteRef/>
      </w:r>
      <w:hyperlink r:id="rId3">
        <w:r>
          <w:rPr>
            <w:rFonts w:ascii="Times New Roman" w:hAnsi="Times New Roman" w:cs="Times New Roman"/>
          </w:rPr>
          <w:tab/>
          <w:t>Pirms gailis dziedās. Laura Gundara romānā Svešam kļūt jeb Stāsts par Gunāru A. recenzija / Diena</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91F"/>
    <w:rsid w:val="00625725"/>
    <w:rsid w:val="00746017"/>
    <w:rsid w:val="00F349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72334D-F5E9-46B7-880C-559B3934A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resrakstzmes">
    <w:name w:val="Vēres rakstzīmes"/>
    <w:uiPriority w:val="99"/>
    <w:qFormat/>
    <w:rsid w:val="00F3491F"/>
    <w:rPr>
      <w:vertAlign w:val="superscript"/>
    </w:rPr>
  </w:style>
  <w:style w:type="character" w:styleId="FootnoteReference">
    <w:name w:val="footnote reference"/>
    <w:rsid w:val="00F3491F"/>
    <w:rPr>
      <w:vertAlign w:val="superscript"/>
    </w:rPr>
  </w:style>
  <w:style w:type="character" w:styleId="Emphasis">
    <w:name w:val="Emphasis"/>
    <w:qFormat/>
    <w:rsid w:val="00F3491F"/>
    <w:rPr>
      <w:i/>
      <w:iCs/>
    </w:rPr>
  </w:style>
  <w:style w:type="paragraph" w:customStyle="1" w:styleId="Standard">
    <w:name w:val="Standard"/>
    <w:qFormat/>
    <w:rsid w:val="00F3491F"/>
    <w:pPr>
      <w:suppressAutoHyphens/>
      <w:spacing w:after="200" w:line="276" w:lineRule="auto"/>
      <w:textAlignment w:val="baseline"/>
    </w:pPr>
    <w:rPr>
      <w:rFonts w:ascii="Calibri" w:eastAsia="Calibri" w:hAnsi="Calibri" w:cs="Tahoma"/>
      <w:lang w:val="lv-LV"/>
    </w:rPr>
  </w:style>
  <w:style w:type="paragraph" w:customStyle="1" w:styleId="Footnote">
    <w:name w:val="Footnote"/>
    <w:basedOn w:val="Standard"/>
    <w:qFormat/>
    <w:rsid w:val="00F3491F"/>
    <w:pPr>
      <w:suppressLineNumbers/>
      <w:ind w:left="340" w:hanging="3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diena.lv/raksts/kd/recenzijas/pirms-gailis-dziedas.-laura-gundara-romana-_svesam-klut-jeb-stasts-par-gunaru-a._-recenzija-14266212" TargetMode="External"/><Relationship Id="rId2" Type="http://schemas.openxmlformats.org/officeDocument/2006/relationships/hyperlink" Target="https://www.diena.lv/raksts/kd/recenzijas/pirms-gailis-dziedas.-laura-gundara-romana-_svesam-klut-jeb-stasts-par-gunaru-a._-recenzija-14266212" TargetMode="External"/><Relationship Id="rId1" Type="http://schemas.openxmlformats.org/officeDocument/2006/relationships/hyperlink" Target="https://dspace.ut.ee/items/0ac1e929-67fe-4917-8750-cc302713989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4311</Words>
  <Characters>24576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Dainis Zeps</dc:creator>
  <cp:keywords/>
  <dc:description/>
  <cp:lastModifiedBy>Dainis Zeps</cp:lastModifiedBy>
  <cp:revision>1</cp:revision>
  <dcterms:created xsi:type="dcterms:W3CDTF">2024-12-14T12:05:00Z</dcterms:created>
  <dcterms:modified xsi:type="dcterms:W3CDTF">2024-12-14T12:07:00Z</dcterms:modified>
</cp:coreProperties>
</file>